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eastAsia="zh-CN"/>
        </w:rPr>
        <w:t>自然资源和规划局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Times New Roman" w:hAnsi="Times New Roman" w:eastAsia="仿宋_GB2312"/>
          <w:sz w:val="32"/>
          <w:szCs w:val="32"/>
        </w:rPr>
        <w:t>自然资源和规划局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pStyle w:val="9"/>
        <w:shd w:val="clear" w:color="auto" w:fill="FFFFFF"/>
        <w:adjustRightInd w:val="0"/>
        <w:snapToGrid w:val="0"/>
        <w:spacing w:before="0" w:beforeAutospacing="0" w:after="0" w:afterAutospacing="0" w:line="600" w:lineRule="exact"/>
        <w:ind w:firstLine="640" w:firstLineChars="200"/>
        <w:jc w:val="both"/>
        <w:rPr>
          <w:rFonts w:ascii="Times New Roman" w:eastAsia="仿宋_GB2312"/>
          <w:sz w:val="32"/>
          <w:szCs w:val="32"/>
        </w:rPr>
      </w:pPr>
      <w:r>
        <w:rPr>
          <w:rFonts w:ascii="Times New Roman" w:eastAsia="仿宋_GB2312"/>
          <w:sz w:val="32"/>
          <w:szCs w:val="32"/>
        </w:rPr>
        <w:t>（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pStyle w:val="9"/>
        <w:shd w:val="clear" w:color="auto" w:fill="FFFFFF"/>
        <w:adjustRightInd w:val="0"/>
        <w:snapToGrid w:val="0"/>
        <w:spacing w:before="0" w:beforeAutospacing="0" w:after="0" w:afterAutospacing="0" w:line="600" w:lineRule="exact"/>
        <w:ind w:firstLine="660"/>
        <w:jc w:val="both"/>
        <w:rPr>
          <w:rFonts w:ascii="Times New Roman" w:eastAsia="仿宋_GB2312"/>
          <w:sz w:val="32"/>
          <w:szCs w:val="32"/>
        </w:rPr>
      </w:pPr>
      <w:r>
        <w:rPr>
          <w:rFonts w:ascii="Times New Roman" w:eastAsia="仿宋_GB2312"/>
          <w:sz w:val="32"/>
          <w:szCs w:val="32"/>
        </w:rPr>
        <w:t>（二）负责全县自然资源调查监测评价。贯彻执行国家自然资源调查监测评价的指标体系、统计标准和自然资源调查监测评价制度。实施自然资源基础调查、专项调查和监测。负责自然资源调查监测评价成果的监督管理和信息发布。　</w:t>
      </w:r>
    </w:p>
    <w:p>
      <w:pPr>
        <w:pStyle w:val="9"/>
        <w:shd w:val="clear" w:color="auto" w:fill="FFFFFF"/>
        <w:adjustRightInd w:val="0"/>
        <w:snapToGrid w:val="0"/>
        <w:spacing w:before="0" w:beforeAutospacing="0" w:after="0" w:afterAutospacing="0" w:line="600" w:lineRule="exact"/>
        <w:ind w:firstLine="660"/>
        <w:jc w:val="both"/>
        <w:rPr>
          <w:rFonts w:ascii="Times New Roman" w:eastAsia="仿宋_GB2312"/>
          <w:sz w:val="32"/>
          <w:szCs w:val="32"/>
        </w:rPr>
      </w:pPr>
      <w:r>
        <w:rPr>
          <w:rFonts w:ascii="Times New Roman" w:eastAsia="仿宋_GB2312"/>
          <w:sz w:val="32"/>
          <w:szCs w:val="32"/>
        </w:rPr>
        <w:t>（三）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pPr>
        <w:pStyle w:val="9"/>
        <w:shd w:val="clear" w:color="auto" w:fill="FFFFFF"/>
        <w:adjustRightInd w:val="0"/>
        <w:snapToGrid w:val="0"/>
        <w:spacing w:before="0" w:beforeAutospacing="0" w:after="0" w:afterAutospacing="0" w:line="600" w:lineRule="exact"/>
        <w:jc w:val="both"/>
        <w:rPr>
          <w:rFonts w:ascii="Times New Roman" w:eastAsia="仿宋_GB2312"/>
          <w:sz w:val="32"/>
          <w:szCs w:val="32"/>
        </w:rPr>
      </w:pPr>
      <w:r>
        <w:rPr>
          <w:rFonts w:ascii="Times New Roman" w:eastAsia="仿宋_GB2312"/>
          <w:sz w:val="32"/>
          <w:szCs w:val="32"/>
        </w:rPr>
        <w:t>　　（四）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pStyle w:val="9"/>
        <w:shd w:val="clear" w:color="auto" w:fill="FFFFFF"/>
        <w:adjustRightInd w:val="0"/>
        <w:snapToGrid w:val="0"/>
        <w:spacing w:before="0" w:beforeAutospacing="0" w:after="0" w:afterAutospacing="0" w:line="600" w:lineRule="exact"/>
        <w:jc w:val="both"/>
        <w:rPr>
          <w:rFonts w:ascii="Times New Roman" w:eastAsia="仿宋_GB2312"/>
          <w:sz w:val="32"/>
          <w:szCs w:val="32"/>
        </w:rPr>
      </w:pPr>
      <w:r>
        <w:rPr>
          <w:rFonts w:ascii="Times New Roman" w:eastAsia="仿宋_GB2312"/>
          <w:sz w:val="32"/>
          <w:szCs w:val="32"/>
        </w:rPr>
        <w:t>　　（五）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pStyle w:val="9"/>
        <w:shd w:val="clear" w:color="auto" w:fill="FFFFFF"/>
        <w:adjustRightInd w:val="0"/>
        <w:snapToGrid w:val="0"/>
        <w:spacing w:before="0" w:beforeAutospacing="0" w:after="0" w:afterAutospacing="0" w:line="600" w:lineRule="exact"/>
        <w:ind w:firstLine="635"/>
        <w:jc w:val="both"/>
        <w:rPr>
          <w:rFonts w:ascii="Times New Roman" w:eastAsia="仿宋_GB2312"/>
          <w:sz w:val="32"/>
          <w:szCs w:val="32"/>
        </w:rPr>
      </w:pPr>
      <w:r>
        <w:rPr>
          <w:rFonts w:ascii="Times New Roman" w:eastAsia="仿宋_GB2312"/>
          <w:sz w:val="32"/>
          <w:szCs w:val="32"/>
        </w:rPr>
        <w:t>（六）负责建立全县空间规划体系并监督实施。推进主体功能区战略和制度，组织编制并监督实施全县国土空间规划和相关专项规划。负责编制城市控制性详细规划和城市设计。开展国土空间开发适宜性评价，建立国土空间规划实施监测、评估和预警体系。负责县国土空间规划和相关专项规划的编制工作并监督管理。组织划定生态保护红线、永久基本农田、城镇开发边界等控制线，构建节约资源和保护环境的生产、生活、生态空间布局。负责县城乡规划审议委员会日常工作。</w:t>
      </w:r>
    </w:p>
    <w:p>
      <w:pPr>
        <w:pStyle w:val="9"/>
        <w:shd w:val="clear" w:color="auto" w:fill="FFFFFF"/>
        <w:adjustRightInd w:val="0"/>
        <w:snapToGrid w:val="0"/>
        <w:spacing w:before="0" w:beforeAutospacing="0" w:after="0" w:afterAutospacing="0" w:line="600" w:lineRule="exact"/>
        <w:ind w:firstLine="635"/>
        <w:jc w:val="both"/>
        <w:rPr>
          <w:rFonts w:ascii="Times New Roman" w:eastAsia="仿宋_GB2312"/>
          <w:color w:val="000000"/>
          <w:sz w:val="32"/>
          <w:szCs w:val="32"/>
        </w:rPr>
      </w:pPr>
      <w:r>
        <w:rPr>
          <w:rFonts w:ascii="Times New Roman" w:eastAsia="仿宋_GB2312"/>
          <w:sz w:val="32"/>
          <w:szCs w:val="32"/>
        </w:rPr>
        <w:t>（七）</w:t>
      </w:r>
      <w:r>
        <w:rPr>
          <w:rFonts w:ascii="Times New Roman" w:eastAsia="仿宋_GB2312"/>
          <w:color w:val="000000"/>
          <w:sz w:val="32"/>
          <w:szCs w:val="32"/>
        </w:rPr>
        <w:t>负责建立健全国土空间用途管制制度，研究拟订城乡规划政策并监督实施。参与城市重大建设项目前期论证。负责土地等自然资源年度利用计划管理工作。负责土地等国土空间用途转用工作。负责土地征收征用管理。</w:t>
      </w:r>
    </w:p>
    <w:p>
      <w:pPr>
        <w:pStyle w:val="9"/>
        <w:shd w:val="clear" w:color="auto" w:fill="FFFFFF"/>
        <w:adjustRightInd w:val="0"/>
        <w:snapToGrid w:val="0"/>
        <w:spacing w:before="0" w:beforeAutospacing="0" w:after="0" w:afterAutospacing="0" w:line="600" w:lineRule="exact"/>
        <w:jc w:val="both"/>
        <w:rPr>
          <w:rFonts w:ascii="Times New Roman" w:eastAsia="仿宋_GB2312"/>
          <w:sz w:val="32"/>
          <w:szCs w:val="32"/>
        </w:rPr>
      </w:pPr>
      <w:r>
        <w:rPr>
          <w:rFonts w:ascii="Times New Roman" w:eastAsia="仿宋_GB2312"/>
          <w:sz w:val="32"/>
          <w:szCs w:val="32"/>
        </w:rPr>
        <w:t>　　（八）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pStyle w:val="9"/>
        <w:shd w:val="clear" w:color="auto" w:fill="FFFFFF"/>
        <w:adjustRightInd w:val="0"/>
        <w:snapToGrid w:val="0"/>
        <w:spacing w:before="0" w:beforeAutospacing="0" w:after="0" w:afterAutospacing="0" w:line="600" w:lineRule="exact"/>
        <w:jc w:val="both"/>
        <w:rPr>
          <w:rFonts w:ascii="Times New Roman" w:eastAsia="仿宋_GB2312"/>
          <w:sz w:val="32"/>
          <w:szCs w:val="32"/>
        </w:rPr>
      </w:pPr>
      <w:r>
        <w:rPr>
          <w:rFonts w:ascii="Times New Roman" w:eastAsia="仿宋_GB2312"/>
          <w:sz w:val="32"/>
          <w:szCs w:val="32"/>
        </w:rPr>
        <w:t>　　（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pStyle w:val="9"/>
        <w:shd w:val="clear" w:color="auto" w:fill="FFFFFF"/>
        <w:adjustRightInd w:val="0"/>
        <w:snapToGrid w:val="0"/>
        <w:spacing w:before="0" w:beforeAutospacing="0" w:after="0" w:afterAutospacing="0" w:line="600" w:lineRule="exact"/>
        <w:ind w:firstLine="629"/>
        <w:jc w:val="both"/>
        <w:rPr>
          <w:rFonts w:ascii="Times New Roman" w:eastAsia="仿宋_GB2312"/>
          <w:sz w:val="32"/>
          <w:szCs w:val="32"/>
        </w:rPr>
      </w:pPr>
      <w:r>
        <w:rPr>
          <w:rFonts w:ascii="Times New Roman" w:eastAsia="仿宋_GB2312"/>
          <w:sz w:val="32"/>
          <w:szCs w:val="32"/>
        </w:rPr>
        <w:t>（十）负责管理全县地质勘查行业和地质工作。编制地质勘查规划并监督检查执行情况。管理县级地质勘查项目。组织实施重大地质矿产勘查专项。负责古生物化石的监督管理。</w:t>
      </w:r>
    </w:p>
    <w:p>
      <w:pPr>
        <w:pStyle w:val="9"/>
        <w:shd w:val="clear" w:color="auto" w:fill="FFFFFF"/>
        <w:adjustRightInd w:val="0"/>
        <w:snapToGrid w:val="0"/>
        <w:spacing w:before="0" w:beforeAutospacing="0" w:after="0" w:afterAutospacing="0" w:line="600" w:lineRule="exact"/>
        <w:ind w:firstLine="629"/>
        <w:jc w:val="both"/>
        <w:rPr>
          <w:rFonts w:ascii="Times New Roman" w:eastAsia="仿宋_GB2312"/>
          <w:sz w:val="32"/>
          <w:szCs w:val="32"/>
        </w:rPr>
      </w:pPr>
      <w:r>
        <w:rPr>
          <w:rFonts w:ascii="Times New Roman" w:eastAsia="仿宋_GB2312"/>
          <w:sz w:val="32"/>
          <w:szCs w:val="32"/>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pStyle w:val="9"/>
        <w:shd w:val="clear" w:color="auto" w:fill="FFFFFF"/>
        <w:adjustRightInd w:val="0"/>
        <w:snapToGrid w:val="0"/>
        <w:spacing w:before="0" w:beforeAutospacing="0" w:after="0" w:afterAutospacing="0" w:line="600" w:lineRule="exact"/>
        <w:ind w:firstLine="629"/>
        <w:jc w:val="both"/>
        <w:rPr>
          <w:rFonts w:ascii="Times New Roman" w:eastAsia="仿宋_GB2312"/>
          <w:sz w:val="32"/>
          <w:szCs w:val="32"/>
        </w:rPr>
      </w:pPr>
      <w:r>
        <w:rPr>
          <w:rFonts w:ascii="Times New Roman" w:eastAsia="仿宋_GB2312"/>
          <w:sz w:val="32"/>
          <w:szCs w:val="32"/>
        </w:rPr>
        <w:t>（十二）负责全县矿产资源管理工作。负责矿产资源储量管理及压覆矿产资源管理。负责矿业权管理。会同有关部门负责落实保护性开采的特定矿种、优势矿产的调控及相关管理工作。监督指导矿产资源合理利用和保护。</w:t>
      </w:r>
    </w:p>
    <w:p>
      <w:pPr>
        <w:pStyle w:val="9"/>
        <w:shd w:val="clear" w:color="auto" w:fill="FFFFFF"/>
        <w:adjustRightInd w:val="0"/>
        <w:snapToGrid w:val="0"/>
        <w:spacing w:before="0" w:beforeAutospacing="0" w:after="0" w:afterAutospacing="0" w:line="600" w:lineRule="exact"/>
        <w:ind w:firstLine="629"/>
        <w:jc w:val="both"/>
        <w:rPr>
          <w:rFonts w:ascii="Times New Roman" w:eastAsia="仿宋_GB2312"/>
          <w:sz w:val="32"/>
          <w:szCs w:val="32"/>
        </w:rPr>
      </w:pPr>
      <w:r>
        <w:rPr>
          <w:rFonts w:ascii="Times New Roman" w:eastAsia="仿宋_GB2312"/>
          <w:sz w:val="32"/>
          <w:szCs w:val="32"/>
        </w:rPr>
        <w:t>（十三）负责全县测绘地理信息管理工作。负责基础测绘和测绘行业管理。负责测绘资质资格与信用管理，监督管理地理信息安全和市场秩序。负责地理信息公共服务管理。负责测量标志保护。</w:t>
      </w:r>
    </w:p>
    <w:p>
      <w:pPr>
        <w:pStyle w:val="9"/>
        <w:shd w:val="clear" w:color="auto" w:fill="FFFFFF"/>
        <w:adjustRightInd w:val="0"/>
        <w:snapToGrid w:val="0"/>
        <w:spacing w:beforeAutospacing="0" w:afterAutospacing="0" w:line="600" w:lineRule="exact"/>
        <w:ind w:firstLine="629"/>
        <w:jc w:val="both"/>
        <w:rPr>
          <w:rFonts w:ascii="Times New Roman" w:eastAsia="仿宋_GB2312"/>
          <w:sz w:val="32"/>
          <w:szCs w:val="32"/>
        </w:rPr>
      </w:pPr>
      <w:r>
        <w:rPr>
          <w:rFonts w:ascii="Times New Roman" w:eastAsia="仿宋_GB2312"/>
          <w:sz w:val="32"/>
          <w:szCs w:val="32"/>
        </w:rPr>
        <w:t>（十四）负责组织全县造林绿化工作。指导公益林和商品林的培育，指导、监督全民义务植树、城乡绿化工作。指导林业有害生物防治、检疫工作。承担林业应对气候变化的相关工作。</w:t>
      </w:r>
    </w:p>
    <w:p>
      <w:pPr>
        <w:pStyle w:val="9"/>
        <w:shd w:val="clear" w:color="auto" w:fill="FFFFFF"/>
        <w:adjustRightInd w:val="0"/>
        <w:snapToGrid w:val="0"/>
        <w:spacing w:beforeAutospacing="0" w:afterAutospacing="0" w:line="600" w:lineRule="exact"/>
        <w:ind w:firstLine="629"/>
        <w:jc w:val="both"/>
        <w:rPr>
          <w:rFonts w:ascii="Times New Roman" w:eastAsia="仿宋_GB2312"/>
          <w:sz w:val="32"/>
          <w:szCs w:val="32"/>
        </w:rPr>
      </w:pPr>
      <w:r>
        <w:rPr>
          <w:rFonts w:ascii="Times New Roman" w:eastAsia="仿宋_GB2312"/>
          <w:sz w:val="32"/>
          <w:szCs w:val="32"/>
        </w:rPr>
        <w:t>（十五）负责全县森林、草原、湿地资源的监督管理。组织编制并监督执行全</w:t>
      </w:r>
      <w:r>
        <w:rPr>
          <w:rFonts w:ascii="Times New Roman" w:eastAsia="仿宋_GB2312"/>
          <w:color w:val="000000"/>
          <w:sz w:val="32"/>
          <w:szCs w:val="32"/>
        </w:rPr>
        <w:t>县</w:t>
      </w:r>
      <w:r>
        <w:rPr>
          <w:rFonts w:ascii="Times New Roman" w:eastAsia="仿宋_GB2312"/>
          <w:sz w:val="32"/>
          <w:szCs w:val="32"/>
        </w:rPr>
        <w:t>森林采伐限额。负责林地管理，拟订全</w:t>
      </w:r>
      <w:r>
        <w:rPr>
          <w:rFonts w:ascii="Times New Roman" w:eastAsia="仿宋_GB2312"/>
          <w:color w:val="000000"/>
          <w:sz w:val="32"/>
          <w:szCs w:val="32"/>
        </w:rPr>
        <w:t>县</w:t>
      </w:r>
      <w:r>
        <w:rPr>
          <w:rFonts w:ascii="Times New Roman" w:eastAsia="仿宋_GB2312"/>
          <w:sz w:val="32"/>
          <w:szCs w:val="32"/>
        </w:rPr>
        <w:t>林地保护利用规划并组织实施，指导全县公益林划定和管理工作。监督管理</w:t>
      </w:r>
      <w:r>
        <w:rPr>
          <w:rFonts w:ascii="Times New Roman" w:eastAsia="仿宋_GB2312"/>
          <w:color w:val="000000"/>
          <w:sz w:val="32"/>
          <w:szCs w:val="32"/>
        </w:rPr>
        <w:t>草原</w:t>
      </w:r>
      <w:r>
        <w:rPr>
          <w:rFonts w:ascii="Times New Roman" w:eastAsia="仿宋_GB2312"/>
          <w:sz w:val="32"/>
          <w:szCs w:val="32"/>
        </w:rPr>
        <w:t>的开发利用。拟订全县湿地保护规划和相关地方标准并组织实施，监督管理湿地的开发利用。</w:t>
      </w:r>
    </w:p>
    <w:p>
      <w:pPr>
        <w:pStyle w:val="9"/>
        <w:shd w:val="clear" w:color="auto" w:fill="FFFFFF"/>
        <w:adjustRightInd w:val="0"/>
        <w:snapToGrid w:val="0"/>
        <w:spacing w:beforeAutospacing="0" w:afterAutospacing="0" w:line="600" w:lineRule="exact"/>
        <w:ind w:firstLine="629"/>
        <w:jc w:val="both"/>
        <w:rPr>
          <w:rFonts w:ascii="Times New Roman" w:eastAsia="仿宋_GB2312"/>
          <w:sz w:val="32"/>
          <w:szCs w:val="32"/>
        </w:rPr>
      </w:pPr>
      <w:r>
        <w:rPr>
          <w:rFonts w:ascii="Times New Roman" w:eastAsia="仿宋_GB2312"/>
          <w:sz w:val="32"/>
          <w:szCs w:val="32"/>
        </w:rPr>
        <w:t>（十六）负责监督管理全县荒漠化防治工作。组织开展荒漠调查，组织拟订全县防沙治沙及沙化土地封禁保护区建设规划，拟订相关地方标准和规定并监督实施，监督管理沙化土地的开发利用，组织沙尘暴灾害预测预报和应急处置。</w:t>
      </w:r>
    </w:p>
    <w:p>
      <w:pPr>
        <w:pStyle w:val="9"/>
        <w:shd w:val="clear" w:color="auto" w:fill="FFFFFF"/>
        <w:adjustRightInd w:val="0"/>
        <w:snapToGrid w:val="0"/>
        <w:spacing w:beforeAutospacing="0" w:afterAutospacing="0" w:line="600" w:lineRule="exact"/>
        <w:ind w:firstLine="629"/>
        <w:jc w:val="both"/>
        <w:rPr>
          <w:rFonts w:ascii="Times New Roman" w:eastAsia="仿宋_GB2312"/>
          <w:sz w:val="32"/>
          <w:szCs w:val="32"/>
        </w:rPr>
      </w:pPr>
      <w:r>
        <w:rPr>
          <w:rFonts w:ascii="Times New Roman" w:eastAsia="仿宋_GB2312"/>
          <w:sz w:val="32"/>
          <w:szCs w:val="32"/>
        </w:rPr>
        <w:t>（十七）负责全县陆生野生动植物资源监督管理。组织开展陆生野生动植物资源调查。指导全县陆生野生动植物的救护繁育、栖息地恢复发展、疫源疫病监测，监督管理全</w:t>
      </w:r>
      <w:r>
        <w:rPr>
          <w:rFonts w:ascii="Times New Roman" w:eastAsia="仿宋_GB2312"/>
          <w:color w:val="000000"/>
          <w:sz w:val="32"/>
          <w:szCs w:val="32"/>
        </w:rPr>
        <w:t>县</w:t>
      </w:r>
      <w:r>
        <w:rPr>
          <w:rFonts w:ascii="Times New Roman" w:eastAsia="仿宋_GB2312"/>
          <w:sz w:val="32"/>
          <w:szCs w:val="32"/>
        </w:rPr>
        <w:t>陆生野生动植物猎捕或采集、驯养繁殖或培植、经营利用，按分工监督管理野生动植物进出口。</w:t>
      </w:r>
    </w:p>
    <w:p>
      <w:pPr>
        <w:pStyle w:val="9"/>
        <w:shd w:val="clear" w:color="auto" w:fill="FFFFFF"/>
        <w:adjustRightInd w:val="0"/>
        <w:snapToGrid w:val="0"/>
        <w:spacing w:beforeAutospacing="0" w:afterAutospacing="0" w:line="600" w:lineRule="exact"/>
        <w:ind w:firstLine="629"/>
        <w:jc w:val="both"/>
        <w:rPr>
          <w:rFonts w:ascii="Times New Roman" w:eastAsia="仿宋_GB2312"/>
          <w:sz w:val="32"/>
          <w:szCs w:val="32"/>
        </w:rPr>
      </w:pPr>
      <w:r>
        <w:rPr>
          <w:rFonts w:ascii="Times New Roman" w:eastAsia="仿宋_GB2312"/>
          <w:sz w:val="32"/>
          <w:szCs w:val="32"/>
        </w:rPr>
        <w:t>（十八）负责监督管理全县各类自然保护地。拟订全县各类自然保护地规划和相关地方标准。承办国家公园规划、管理和监督，负责上级委托县政府代理行使所有权的国家公园等自然保护地的自然资源资产管理和国土空间用途管制。提出新建、调整各</w:t>
      </w:r>
      <w:r>
        <w:rPr>
          <w:rFonts w:ascii="Times New Roman" w:eastAsia="仿宋_GB2312"/>
          <w:color w:val="000000"/>
          <w:sz w:val="32"/>
          <w:szCs w:val="32"/>
        </w:rPr>
        <w:t>类县</w:t>
      </w:r>
      <w:r>
        <w:rPr>
          <w:rFonts w:ascii="Times New Roman" w:eastAsia="仿宋_GB2312"/>
          <w:sz w:val="32"/>
          <w:szCs w:val="32"/>
        </w:rPr>
        <w:t>级以上自然保护地的审核建议并按程序报批。组织申报世界自然遗产，会同有关部门申报世界自然与文化双重遗产。负责全</w:t>
      </w:r>
      <w:r>
        <w:rPr>
          <w:rFonts w:ascii="Times New Roman" w:eastAsia="仿宋_GB2312"/>
          <w:color w:val="000000"/>
          <w:sz w:val="32"/>
          <w:szCs w:val="32"/>
        </w:rPr>
        <w:t>县</w:t>
      </w:r>
      <w:r>
        <w:rPr>
          <w:rFonts w:ascii="Times New Roman" w:eastAsia="仿宋_GB2312"/>
          <w:sz w:val="32"/>
          <w:szCs w:val="32"/>
        </w:rPr>
        <w:t>生物多样性保护相关工作。</w:t>
      </w:r>
    </w:p>
    <w:p>
      <w:pPr>
        <w:pStyle w:val="9"/>
        <w:shd w:val="clear" w:color="auto" w:fill="FFFFFF"/>
        <w:adjustRightInd w:val="0"/>
        <w:snapToGrid w:val="0"/>
        <w:spacing w:beforeAutospacing="0" w:afterAutospacing="0" w:line="600" w:lineRule="exact"/>
        <w:ind w:firstLine="629"/>
        <w:jc w:val="both"/>
        <w:rPr>
          <w:rFonts w:ascii="Times New Roman" w:eastAsia="仿宋_GB2312"/>
          <w:sz w:val="32"/>
          <w:szCs w:val="32"/>
        </w:rPr>
      </w:pPr>
      <w:r>
        <w:rPr>
          <w:rFonts w:ascii="Times New Roman" w:eastAsia="仿宋_GB2312"/>
          <w:sz w:val="32"/>
          <w:szCs w:val="32"/>
        </w:rPr>
        <w:t>（十九）负责推进全</w:t>
      </w:r>
      <w:r>
        <w:rPr>
          <w:rFonts w:ascii="Times New Roman" w:eastAsia="仿宋_GB2312"/>
          <w:color w:val="000000"/>
          <w:sz w:val="32"/>
          <w:szCs w:val="32"/>
        </w:rPr>
        <w:t>县</w:t>
      </w:r>
      <w:r>
        <w:rPr>
          <w:rFonts w:ascii="Times New Roman" w:eastAsia="仿宋_GB2312"/>
          <w:sz w:val="32"/>
          <w:szCs w:val="32"/>
        </w:rPr>
        <w:t>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pStyle w:val="9"/>
        <w:shd w:val="clear" w:color="auto" w:fill="FFFFFF"/>
        <w:adjustRightInd w:val="0"/>
        <w:snapToGrid w:val="0"/>
        <w:spacing w:beforeAutospacing="0" w:afterAutospacing="0" w:line="600" w:lineRule="exact"/>
        <w:ind w:firstLine="629"/>
        <w:jc w:val="both"/>
        <w:rPr>
          <w:rFonts w:ascii="Times New Roman" w:eastAsia="仿宋_GB2312"/>
          <w:sz w:val="32"/>
          <w:szCs w:val="32"/>
        </w:rPr>
      </w:pPr>
      <w:r>
        <w:rPr>
          <w:rFonts w:ascii="Times New Roman" w:eastAsia="仿宋_GB2312"/>
          <w:sz w:val="32"/>
          <w:szCs w:val="32"/>
        </w:rPr>
        <w:t>（二十）拟订全县林业和草原资源优化配置及木材利用政策，拟订相关林业产业地方标准并监督实施，组织、指导林产品质量监督，指导生态扶贫相关工作。</w:t>
      </w:r>
    </w:p>
    <w:p>
      <w:pPr>
        <w:pStyle w:val="9"/>
        <w:shd w:val="clear" w:color="auto" w:fill="FFFFFF"/>
        <w:adjustRightInd w:val="0"/>
        <w:snapToGrid w:val="0"/>
        <w:spacing w:beforeAutospacing="0" w:afterAutospacing="0" w:line="600" w:lineRule="exact"/>
        <w:ind w:firstLine="629"/>
        <w:jc w:val="both"/>
        <w:rPr>
          <w:rFonts w:ascii="Times New Roman" w:eastAsia="仿宋_GB2312"/>
          <w:sz w:val="32"/>
          <w:szCs w:val="32"/>
        </w:rPr>
      </w:pPr>
      <w:r>
        <w:rPr>
          <w:rFonts w:ascii="Times New Roman" w:eastAsia="仿宋_GB2312"/>
          <w:sz w:val="32"/>
          <w:szCs w:val="32"/>
        </w:rPr>
        <w:t>（二十一）组织开展林木种子、草种种质资源普查，组织建立种质资源库，负责良种选育推广，管理林木种苗、草种生产经营行为，监管林木种苗、草种质量。监督管理林业和草原生物种质资源、转基因生物安全、植物新品种保护。</w:t>
      </w:r>
    </w:p>
    <w:p>
      <w:pPr>
        <w:pStyle w:val="9"/>
        <w:shd w:val="clear" w:color="auto" w:fill="FFFFFF"/>
        <w:adjustRightInd w:val="0"/>
        <w:snapToGrid w:val="0"/>
        <w:spacing w:beforeAutospacing="0" w:afterAutospacing="0" w:line="600" w:lineRule="exact"/>
        <w:ind w:firstLine="629"/>
        <w:jc w:val="both"/>
        <w:rPr>
          <w:rFonts w:ascii="Times New Roman" w:eastAsia="仿宋_GB2312"/>
          <w:color w:val="000000"/>
          <w:sz w:val="32"/>
          <w:szCs w:val="32"/>
        </w:rPr>
      </w:pPr>
      <w:r>
        <w:rPr>
          <w:rFonts w:ascii="Times New Roman" w:eastAsia="仿宋_GB2312"/>
          <w:sz w:val="32"/>
          <w:szCs w:val="32"/>
        </w:rPr>
        <w:t>（二十二）</w:t>
      </w:r>
      <w:r>
        <w:rPr>
          <w:rFonts w:ascii="Times New Roman" w:eastAsia="仿宋_GB2312"/>
          <w:color w:val="000000"/>
          <w:sz w:val="32"/>
          <w:szCs w:val="32"/>
        </w:rPr>
        <w:t>配合全县林业重大违法案件的查处，负责相关行政执法监管工作。</w:t>
      </w:r>
    </w:p>
    <w:p>
      <w:pPr>
        <w:pStyle w:val="9"/>
        <w:shd w:val="clear" w:color="auto" w:fill="FFFFFF"/>
        <w:adjustRightInd w:val="0"/>
        <w:snapToGrid w:val="0"/>
        <w:spacing w:before="0" w:beforeAutospacing="0" w:after="0" w:afterAutospacing="0" w:line="600" w:lineRule="exact"/>
        <w:ind w:firstLine="629"/>
        <w:jc w:val="both"/>
        <w:rPr>
          <w:rFonts w:ascii="Times New Roman" w:eastAsia="仿宋_GB2312"/>
          <w:sz w:val="32"/>
          <w:szCs w:val="32"/>
        </w:rPr>
      </w:pPr>
      <w:r>
        <w:rPr>
          <w:rFonts w:ascii="Times New Roman" w:eastAsia="仿宋_GB2312"/>
          <w:sz w:val="32"/>
          <w:szCs w:val="32"/>
        </w:rPr>
        <w:t>（二十三）负责落实全县综合防灾规划相关要求，组织编制全县森林和草原火灾防治规划和防护标准并监督实施，指导开展防火巡护、火源管理、防火设施建设等工作。组织指导开展全县森林和草原防火宣传教育、监测预警、督促检查等防火工作。必要时，可以提请县应急管理局，以县应急指挥机构名义，部署相关防治工作。</w:t>
      </w:r>
    </w:p>
    <w:p>
      <w:pPr>
        <w:pStyle w:val="9"/>
        <w:shd w:val="clear" w:color="auto" w:fill="FFFFFF"/>
        <w:adjustRightInd w:val="0"/>
        <w:snapToGrid w:val="0"/>
        <w:spacing w:before="0" w:beforeAutospacing="0" w:after="0" w:afterAutospacing="0" w:line="600" w:lineRule="exact"/>
        <w:ind w:firstLine="629"/>
        <w:jc w:val="both"/>
        <w:rPr>
          <w:rFonts w:ascii="Times New Roman" w:eastAsia="仿宋_GB2312"/>
          <w:sz w:val="32"/>
          <w:szCs w:val="32"/>
        </w:rPr>
      </w:pPr>
      <w:r>
        <w:rPr>
          <w:rFonts w:ascii="Times New Roman" w:eastAsia="仿宋_GB2312"/>
          <w:sz w:val="32"/>
          <w:szCs w:val="32"/>
        </w:rPr>
        <w:t>（二十四）推动全县自然资源领域科技发展。制定并实施自然资源领域科技创新发展和人才培养规划和计划。贯彻执行技术标准、规程规范。组织实施重大科技工程及创新能力建设，推进自然资源信息化和信息资料的公共服务。</w:t>
      </w:r>
    </w:p>
    <w:p>
      <w:pPr>
        <w:pStyle w:val="9"/>
        <w:shd w:val="clear" w:color="auto" w:fill="FFFFFF"/>
        <w:adjustRightInd w:val="0"/>
        <w:snapToGrid w:val="0"/>
        <w:spacing w:before="0" w:beforeAutospacing="0" w:after="0" w:afterAutospacing="0" w:line="600" w:lineRule="exact"/>
        <w:ind w:firstLine="629"/>
        <w:jc w:val="both"/>
        <w:rPr>
          <w:rFonts w:ascii="Times New Roman" w:eastAsia="仿宋_GB2312"/>
          <w:sz w:val="32"/>
          <w:szCs w:val="32"/>
        </w:rPr>
      </w:pPr>
      <w:r>
        <w:rPr>
          <w:rFonts w:ascii="Times New Roman" w:eastAsia="仿宋_GB2312"/>
          <w:sz w:val="32"/>
          <w:szCs w:val="32"/>
        </w:rPr>
        <w:t>（二十五）开展全县自然资源国际合作。组织开展自然资源领域对外交流合作。承担有关国际公约履约工作。</w:t>
      </w:r>
    </w:p>
    <w:p>
      <w:pPr>
        <w:pStyle w:val="9"/>
        <w:shd w:val="clear" w:color="auto" w:fill="FFFFFF"/>
        <w:adjustRightInd w:val="0"/>
        <w:snapToGrid w:val="0"/>
        <w:spacing w:before="0" w:beforeAutospacing="0" w:after="0" w:afterAutospacing="0" w:line="600" w:lineRule="exact"/>
        <w:ind w:firstLine="629"/>
        <w:jc w:val="both"/>
        <w:rPr>
          <w:rFonts w:ascii="Times New Roman" w:eastAsia="仿宋_GB2312"/>
          <w:sz w:val="32"/>
          <w:szCs w:val="32"/>
        </w:rPr>
      </w:pPr>
      <w:r>
        <w:rPr>
          <w:rFonts w:ascii="Times New Roman" w:eastAsia="仿宋_GB2312"/>
          <w:sz w:val="32"/>
          <w:szCs w:val="32"/>
        </w:rPr>
        <w:t>（二十六）查处全县自然资源开发利用和国土空间规划及测绘重大违法案件。</w:t>
      </w:r>
    </w:p>
    <w:p>
      <w:pPr>
        <w:pStyle w:val="9"/>
        <w:shd w:val="clear" w:color="auto" w:fill="FFFFFF"/>
        <w:adjustRightInd w:val="0"/>
        <w:snapToGrid w:val="0"/>
        <w:spacing w:before="0" w:beforeAutospacing="0" w:after="0" w:afterAutospacing="0" w:line="600" w:lineRule="exact"/>
        <w:ind w:firstLine="629"/>
        <w:jc w:val="both"/>
        <w:rPr>
          <w:rFonts w:ascii="Times New Roman" w:eastAsia="仿宋_GB2312"/>
          <w:sz w:val="32"/>
          <w:szCs w:val="32"/>
        </w:rPr>
      </w:pPr>
      <w:r>
        <w:rPr>
          <w:rFonts w:ascii="Times New Roman" w:eastAsia="仿宋_GB2312"/>
          <w:sz w:val="32"/>
          <w:szCs w:val="32"/>
        </w:rPr>
        <w:t>（二十七）完成县委、县政府交办的其他任务。</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ascii="Times New Roman" w:hAnsi="Times New Roman" w:eastAsia="仿宋_GB2312" w:cs="Arial"/>
                <w:b/>
                <w:kern w:val="2"/>
                <w:sz w:val="21"/>
                <w:szCs w:val="22"/>
                <w:lang w:val="en-US" w:eastAsia="zh-CN" w:bidi="ar-SA"/>
              </w:rPr>
            </w:pPr>
            <w:r>
              <w:rPr>
                <w:rFonts w:hint="eastAsia" w:ascii="Times New Roman" w:hAnsi="Times New Roman" w:eastAsia="仿宋_GB2312"/>
                <w:b/>
              </w:rPr>
              <w:t>大厂回族自治县自然资源和规划局</w:t>
            </w:r>
          </w:p>
        </w:tc>
        <w:tc>
          <w:tcPr>
            <w:tcW w:w="1134" w:type="dxa"/>
            <w:shd w:val="clear" w:color="auto" w:fill="auto"/>
            <w:vAlign w:val="center"/>
          </w:tcPr>
          <w:p>
            <w:pPr>
              <w:spacing w:line="584" w:lineRule="exact"/>
              <w:jc w:val="center"/>
              <w:rPr>
                <w:rFonts w:ascii="Times New Roman" w:hAnsi="Times New Roman" w:eastAsia="仿宋_GB2312" w:cs="Arial"/>
                <w:b/>
                <w:kern w:val="2"/>
                <w:sz w:val="21"/>
                <w:szCs w:val="22"/>
                <w:lang w:val="en-US" w:eastAsia="zh-CN" w:bidi="ar-SA"/>
              </w:rPr>
            </w:pPr>
            <w:r>
              <w:rPr>
                <w:rFonts w:hint="eastAsia" w:ascii="Times New Roman" w:hAnsi="Times New Roman" w:eastAsia="仿宋_GB2312"/>
                <w:b/>
              </w:rPr>
              <w:t>机关</w:t>
            </w:r>
          </w:p>
        </w:tc>
        <w:tc>
          <w:tcPr>
            <w:tcW w:w="1276" w:type="dxa"/>
            <w:shd w:val="clear" w:color="auto" w:fill="auto"/>
            <w:vAlign w:val="center"/>
          </w:tcPr>
          <w:p>
            <w:pPr>
              <w:spacing w:line="584" w:lineRule="exact"/>
              <w:jc w:val="center"/>
              <w:rPr>
                <w:rFonts w:ascii="Times New Roman" w:hAnsi="Times New Roman" w:eastAsia="仿宋_GB2312" w:cs="Arial"/>
                <w:b/>
                <w:kern w:val="2"/>
                <w:sz w:val="21"/>
                <w:szCs w:val="22"/>
                <w:lang w:val="en-US" w:eastAsia="zh-CN" w:bidi="ar-SA"/>
              </w:rPr>
            </w:pPr>
            <w:r>
              <w:rPr>
                <w:rFonts w:hint="eastAsia"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cs="Arial"/>
                <w:b/>
                <w:kern w:val="2"/>
                <w:sz w:val="21"/>
                <w:szCs w:val="22"/>
                <w:lang w:val="en-US" w:eastAsia="zh-CN" w:bidi="ar-SA"/>
              </w:rPr>
            </w:pPr>
            <w:r>
              <w:rPr>
                <w:rFonts w:hint="eastAsia" w:ascii="Times New Roman" w:hAnsi="Times New Roman" w:eastAsia="仿宋_GB2312"/>
                <w:b/>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Times New Roman" w:hAnsi="Times New Roman" w:eastAsia="仿宋_GB2312"/>
          <w:sz w:val="32"/>
          <w:szCs w:val="32"/>
        </w:rPr>
        <w:t>自然资源和规划局</w:t>
      </w:r>
      <w:r>
        <w:rPr>
          <w:rFonts w:ascii="Times New Roman" w:hAnsi="Times New Roman" w:eastAsia="仿宋_GB2312"/>
          <w:sz w:val="32"/>
          <w:szCs w:val="32"/>
        </w:rPr>
        <w:t>机关</w:t>
      </w:r>
      <w:r>
        <w:rPr>
          <w:rFonts w:ascii="仿宋" w:hAnsi="仿宋" w:eastAsia="仿宋" w:cs="Times New Roman"/>
          <w:color w:val="auto"/>
          <w:sz w:val="32"/>
          <w:szCs w:val="32"/>
        </w:rPr>
        <w:t>及所属事业单位的</w:t>
      </w:r>
      <w:r>
        <w:rPr>
          <w:rFonts w:ascii="仿宋" w:hAnsi="仿宋" w:eastAsia="仿宋" w:cs="Times New Roman"/>
          <w:sz w:val="32"/>
          <w:szCs w:val="32"/>
        </w:rPr>
        <w:t>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39367.14</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4367.14</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35000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（有则写，无则填0万元）。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ind w:firstLine="640" w:firstLineChars="200"/>
        <w:rPr>
          <w:rFonts w:hint="eastAsia" w:ascii="仿宋" w:hAnsi="仿宋" w:eastAsia="仿宋" w:cs="Times New Roman"/>
          <w:sz w:val="32"/>
          <w:szCs w:val="32"/>
          <w:lang w:eastAsia="zh-CN"/>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Times New Roman" w:hAnsi="Times New Roman" w:eastAsia="仿宋_GB2312"/>
          <w:sz w:val="32"/>
          <w:szCs w:val="32"/>
        </w:rPr>
        <w:t>自然资源和规划局</w:t>
      </w:r>
      <w:r>
        <w:rPr>
          <w:rFonts w:ascii="Times New Roman" w:hAnsi="Times New Roman" w:eastAsia="仿宋_GB2312"/>
          <w:sz w:val="32"/>
          <w:szCs w:val="32"/>
        </w:rPr>
        <w:t>机关</w:t>
      </w:r>
      <w:r>
        <w:rPr>
          <w:rFonts w:ascii="仿宋" w:hAnsi="仿宋" w:eastAsia="仿宋" w:cs="Times New Roman"/>
          <w:color w:val="auto"/>
          <w:sz w:val="32"/>
          <w:szCs w:val="32"/>
        </w:rPr>
        <w:t>及所属事业单位</w:t>
      </w:r>
      <w:r>
        <w:rPr>
          <w:rFonts w:hint="eastAsia" w:ascii="仿宋" w:hAnsi="仿宋" w:eastAsia="仿宋" w:cs="Times New Roman"/>
          <w:color w:val="auto"/>
          <w:sz w:val="32"/>
          <w:szCs w:val="32"/>
          <w:lang w:val="en-US" w:eastAsia="zh-CN"/>
        </w:rPr>
        <w:t>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39367.14</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2012.58</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1743.87</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268.71</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37354.56</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Times New Roman"/>
          <w:color w:val="auto"/>
          <w:sz w:val="32"/>
          <w:szCs w:val="32"/>
        </w:rPr>
        <w:t>全部为</w:t>
      </w:r>
      <w:r>
        <w:rPr>
          <w:rFonts w:ascii="仿宋" w:hAnsi="仿宋" w:eastAsia="仿宋" w:cs="Times New Roman"/>
          <w:color w:val="auto"/>
          <w:sz w:val="32"/>
          <w:szCs w:val="32"/>
        </w:rPr>
        <w:t>本级支出，主要为</w:t>
      </w:r>
      <w:r>
        <w:rPr>
          <w:rFonts w:hint="eastAsia" w:ascii="仿宋" w:hAnsi="仿宋" w:eastAsia="仿宋" w:cs="Times New Roman"/>
          <w:color w:val="auto"/>
          <w:sz w:val="32"/>
          <w:szCs w:val="32"/>
        </w:rPr>
        <w:t>城乡社区支出</w:t>
      </w:r>
      <w:r>
        <w:rPr>
          <w:rFonts w:ascii="仿宋" w:hAnsi="仿宋" w:eastAsia="仿宋" w:cs="Times New Roman"/>
          <w:color w:val="auto"/>
          <w:sz w:val="32"/>
          <w:szCs w:val="32"/>
        </w:rPr>
        <w:t>、</w:t>
      </w:r>
      <w:r>
        <w:rPr>
          <w:rFonts w:hint="eastAsia" w:ascii="仿宋" w:hAnsi="仿宋" w:eastAsia="仿宋" w:cs="Times New Roman"/>
          <w:color w:val="auto"/>
          <w:sz w:val="32"/>
          <w:szCs w:val="32"/>
        </w:rPr>
        <w:t>农林水支出</w:t>
      </w:r>
      <w:r>
        <w:rPr>
          <w:rFonts w:ascii="仿宋" w:hAnsi="仿宋" w:eastAsia="仿宋" w:cs="Times New Roman"/>
          <w:color w:val="auto"/>
          <w:sz w:val="32"/>
          <w:szCs w:val="32"/>
        </w:rPr>
        <w:t>、</w:t>
      </w:r>
      <w:r>
        <w:rPr>
          <w:rFonts w:hint="eastAsia" w:ascii="仿宋" w:hAnsi="仿宋" w:eastAsia="仿宋" w:cs="Times New Roman"/>
          <w:color w:val="auto"/>
          <w:sz w:val="32"/>
          <w:szCs w:val="32"/>
        </w:rPr>
        <w:t>自然资源海洋气象等支出、卫生健康支出</w:t>
      </w:r>
      <w:r>
        <w:rPr>
          <w:rFonts w:hint="eastAsia" w:ascii="仿宋" w:hAnsi="仿宋" w:eastAsia="仿宋" w:cs="Times New Roman"/>
          <w:color w:val="auto"/>
          <w:sz w:val="32"/>
          <w:szCs w:val="32"/>
          <w:lang w:eastAsia="zh-CN"/>
        </w:rPr>
        <w:t>、住房保障支出</w:t>
      </w:r>
      <w:r>
        <w:rPr>
          <w:rFonts w:ascii="仿宋" w:hAnsi="仿宋" w:eastAsia="仿宋" w:cs="Times New Roman"/>
          <w:color w:val="auto"/>
          <w:sz w:val="32"/>
          <w:szCs w:val="32"/>
        </w:rPr>
        <w:t>等</w:t>
      </w:r>
      <w:r>
        <w:rPr>
          <w:rFonts w:hint="eastAsia" w:ascii="仿宋" w:hAnsi="仿宋" w:eastAsia="仿宋" w:cs="Times New Roman"/>
          <w:color w:val="auto"/>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39367.14</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年预算增加</w:t>
      </w:r>
      <w:r>
        <w:rPr>
          <w:rFonts w:hint="eastAsia" w:ascii="仿宋" w:hAnsi="仿宋" w:eastAsia="仿宋" w:cs="Times New Roman"/>
          <w:sz w:val="32"/>
          <w:szCs w:val="32"/>
          <w:lang w:val="en-US" w:eastAsia="zh-CN"/>
        </w:rPr>
        <w:t>8395.61</w:t>
      </w:r>
      <w:r>
        <w:rPr>
          <w:rFonts w:ascii="仿宋" w:hAnsi="仿宋" w:eastAsia="仿宋" w:cs="Times New Roman"/>
          <w:sz w:val="32"/>
          <w:szCs w:val="32"/>
        </w:rPr>
        <w:t>万元，其中：基本支出减少</w:t>
      </w:r>
      <w:r>
        <w:rPr>
          <w:rFonts w:hint="eastAsia" w:ascii="仿宋" w:hAnsi="仿宋" w:eastAsia="仿宋" w:cs="Times New Roman"/>
          <w:sz w:val="32"/>
          <w:szCs w:val="32"/>
          <w:lang w:val="en-US" w:eastAsia="zh-CN"/>
        </w:rPr>
        <w:t>179.57</w:t>
      </w:r>
      <w:r>
        <w:rPr>
          <w:rFonts w:ascii="仿宋" w:hAnsi="仿宋" w:eastAsia="仿宋" w:cs="Times New Roman"/>
          <w:sz w:val="32"/>
          <w:szCs w:val="32"/>
        </w:rPr>
        <w:t>万元，主要为</w:t>
      </w:r>
      <w:r>
        <w:rPr>
          <w:rFonts w:hint="eastAsia" w:ascii="仿宋" w:hAnsi="仿宋" w:eastAsia="仿宋" w:cs="Times New Roman"/>
          <w:sz w:val="32"/>
          <w:szCs w:val="32"/>
          <w:lang w:eastAsia="zh-CN"/>
        </w:rPr>
        <w:t>日常公用经费</w:t>
      </w:r>
      <w:r>
        <w:rPr>
          <w:rFonts w:ascii="仿宋" w:hAnsi="仿宋" w:eastAsia="仿宋" w:cs="Times New Roman"/>
          <w:sz w:val="32"/>
          <w:szCs w:val="32"/>
        </w:rPr>
        <w:t>支出</w:t>
      </w:r>
      <w:r>
        <w:rPr>
          <w:rFonts w:hint="eastAsia" w:ascii="仿宋" w:hAnsi="仿宋" w:eastAsia="仿宋" w:cs="Times New Roman"/>
          <w:sz w:val="32"/>
          <w:szCs w:val="32"/>
          <w:lang w:eastAsia="zh-CN"/>
        </w:rPr>
        <w:t>减少</w:t>
      </w:r>
      <w:r>
        <w:rPr>
          <w:rFonts w:ascii="仿宋" w:hAnsi="仿宋" w:eastAsia="仿宋" w:cs="Times New Roman"/>
          <w:sz w:val="32"/>
          <w:szCs w:val="32"/>
        </w:rPr>
        <w:t>；项目支出增加</w:t>
      </w:r>
      <w:r>
        <w:rPr>
          <w:rFonts w:hint="eastAsia" w:ascii="仿宋" w:hAnsi="仿宋" w:eastAsia="仿宋" w:cs="Times New Roman"/>
          <w:sz w:val="32"/>
          <w:szCs w:val="32"/>
          <w:lang w:val="en-US" w:eastAsia="zh-CN"/>
        </w:rPr>
        <w:t>8575.18</w:t>
      </w:r>
      <w:r>
        <w:rPr>
          <w:rFonts w:ascii="仿宋" w:hAnsi="仿宋" w:eastAsia="仿宋" w:cs="Times New Roman"/>
          <w:sz w:val="32"/>
          <w:szCs w:val="32"/>
        </w:rPr>
        <w:t>万元，主要</w:t>
      </w:r>
      <w:r>
        <w:rPr>
          <w:rFonts w:ascii="仿宋" w:hAnsi="仿宋" w:eastAsia="仿宋" w:cs="Times New Roman"/>
          <w:color w:val="auto"/>
          <w:sz w:val="32"/>
          <w:szCs w:val="32"/>
        </w:rPr>
        <w:t>为</w:t>
      </w:r>
      <w:r>
        <w:rPr>
          <w:rFonts w:hint="eastAsia" w:ascii="仿宋" w:hAnsi="仿宋" w:eastAsia="仿宋" w:cs="Times New Roman"/>
          <w:color w:val="auto"/>
          <w:sz w:val="32"/>
          <w:szCs w:val="32"/>
        </w:rPr>
        <w:t>城乡社区支出</w:t>
      </w:r>
      <w:r>
        <w:rPr>
          <w:rFonts w:ascii="仿宋" w:hAnsi="仿宋" w:eastAsia="仿宋" w:cs="Times New Roman"/>
          <w:color w:val="auto"/>
          <w:sz w:val="32"/>
          <w:szCs w:val="32"/>
        </w:rPr>
        <w:t>、</w:t>
      </w:r>
      <w:r>
        <w:rPr>
          <w:rFonts w:hint="eastAsia" w:ascii="仿宋" w:hAnsi="仿宋" w:eastAsia="仿宋" w:cs="Times New Roman"/>
          <w:color w:val="auto"/>
          <w:sz w:val="32"/>
          <w:szCs w:val="32"/>
        </w:rPr>
        <w:t>农林水支出</w:t>
      </w:r>
      <w:r>
        <w:rPr>
          <w:rFonts w:ascii="仿宋" w:hAnsi="仿宋" w:eastAsia="仿宋" w:cs="Times New Roman"/>
          <w:color w:val="auto"/>
          <w:sz w:val="32"/>
          <w:szCs w:val="32"/>
        </w:rPr>
        <w:t>、</w:t>
      </w:r>
      <w:r>
        <w:rPr>
          <w:rFonts w:hint="eastAsia" w:ascii="仿宋" w:hAnsi="仿宋" w:eastAsia="仿宋" w:cs="Times New Roman"/>
          <w:color w:val="auto"/>
          <w:sz w:val="32"/>
          <w:szCs w:val="32"/>
        </w:rPr>
        <w:t>自然资源海洋气象等支出、卫生健康支出</w:t>
      </w:r>
      <w:r>
        <w:rPr>
          <w:rFonts w:hint="eastAsia" w:ascii="仿宋" w:hAnsi="仿宋" w:eastAsia="仿宋" w:cs="Times New Roman"/>
          <w:color w:val="auto"/>
          <w:sz w:val="32"/>
          <w:szCs w:val="32"/>
          <w:lang w:eastAsia="zh-CN"/>
        </w:rPr>
        <w:t>、住房保障支出</w:t>
      </w:r>
      <w:r>
        <w:rPr>
          <w:rFonts w:ascii="仿宋" w:hAnsi="仿宋" w:eastAsia="仿宋" w:cs="Times New Roman"/>
          <w:color w:val="auto"/>
          <w:sz w:val="32"/>
          <w:szCs w:val="32"/>
        </w:rPr>
        <w:t>等</w:t>
      </w: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268.71</w:t>
      </w:r>
      <w:r>
        <w:rPr>
          <w:rFonts w:ascii="仿宋" w:hAnsi="仿宋" w:eastAsia="仿宋" w:cs="Times New Roman"/>
          <w:sz w:val="32"/>
          <w:szCs w:val="32"/>
        </w:rPr>
        <w:t>万元，</w:t>
      </w:r>
      <w:r>
        <w:rPr>
          <w:rFonts w:ascii="Times New Roman" w:hAnsi="Times New Roman" w:eastAsia="仿宋_GB2312"/>
          <w:sz w:val="32"/>
          <w:szCs w:val="32"/>
        </w:rPr>
        <w:t>主要用于办公区的日常维修、办公用房水电费、办公用房取暖费、办公用房物业管理费等日常运行支出。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lang w:val="en-US" w:eastAsia="zh-CN"/>
        </w:rPr>
        <w:t>13.53</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12.2</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12.2</w:t>
      </w:r>
      <w:r>
        <w:rPr>
          <w:rFonts w:ascii="仿宋" w:hAnsi="仿宋" w:eastAsia="仿宋" w:cs="Times New Roman"/>
          <w:sz w:val="32"/>
          <w:szCs w:val="32"/>
        </w:rPr>
        <w:t>万元)；公务用车购置及运维费</w:t>
      </w:r>
      <w:r>
        <w:rPr>
          <w:rFonts w:hint="eastAsia" w:ascii="仿宋" w:hAnsi="仿宋" w:eastAsia="仿宋" w:cs="Times New Roman"/>
          <w:sz w:val="32"/>
          <w:szCs w:val="32"/>
          <w:lang w:eastAsia="zh-CN"/>
        </w:rPr>
        <w:t>与</w:t>
      </w:r>
      <w:r>
        <w:rPr>
          <w:rFonts w:hint="eastAsia" w:ascii="仿宋" w:hAnsi="仿宋" w:eastAsia="仿宋" w:cs="Times New Roman"/>
          <w:sz w:val="32"/>
          <w:szCs w:val="32"/>
          <w:lang w:val="en-US" w:eastAsia="zh-CN"/>
        </w:rPr>
        <w:t>2021年</w:t>
      </w:r>
      <w:r>
        <w:rPr>
          <w:rFonts w:hint="eastAsia" w:ascii="Times New Roman" w:hAnsi="Times New Roman" w:eastAsia="仿宋_GB2312"/>
          <w:color w:val="000000"/>
          <w:sz w:val="32"/>
          <w:szCs w:val="32"/>
          <w:highlight w:val="none"/>
        </w:rPr>
        <w:t>相比持平</w:t>
      </w:r>
      <w:r>
        <w:rPr>
          <w:rFonts w:hint="eastAsia" w:ascii="Times New Roman" w:hAnsi="Times New Roman" w:eastAsia="仿宋_GB2312"/>
          <w:color w:val="000000"/>
          <w:sz w:val="32"/>
          <w:szCs w:val="32"/>
          <w:highlight w:val="none"/>
          <w:lang w:eastAsia="zh-CN"/>
        </w:rPr>
        <w:t>，无增减变化</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1.33</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sz w:val="32"/>
          <w:szCs w:val="32"/>
        </w:rPr>
        <w:t>减</w:t>
      </w:r>
      <w:r>
        <w:rPr>
          <w:rFonts w:hint="eastAsia" w:ascii="仿宋" w:hAnsi="仿宋" w:eastAsia="仿宋" w:cs="Times New Roman"/>
          <w:sz w:val="32"/>
          <w:szCs w:val="32"/>
        </w:rPr>
        <w:t>少</w:t>
      </w:r>
      <w:r>
        <w:rPr>
          <w:rFonts w:hint="eastAsia" w:ascii="仿宋" w:hAnsi="仿宋" w:eastAsia="仿宋" w:cs="Times New Roman"/>
          <w:sz w:val="32"/>
          <w:szCs w:val="32"/>
          <w:lang w:val="en-US" w:eastAsia="zh-CN"/>
        </w:rPr>
        <w:t>0.07</w:t>
      </w:r>
      <w:r>
        <w:rPr>
          <w:rFonts w:ascii="仿宋" w:hAnsi="仿宋" w:eastAsia="仿宋" w:cs="Times New Roman"/>
          <w:sz w:val="32"/>
          <w:szCs w:val="32"/>
        </w:rPr>
        <w:t>万元，主要原因是</w:t>
      </w:r>
      <w:r>
        <w:rPr>
          <w:rFonts w:hint="eastAsia" w:ascii="仿宋" w:hAnsi="仿宋" w:eastAsia="仿宋"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2022年，县自然资源和规划局坚持“民族团结、生态优先”总原则，坚定“北京城市副中心后花园”总体定位，学习昆山，对标通州，大干“五二一”，全面融入副中心建设，对照县委工作要点和县政府工作报告确定的各项目标任务。</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完成县域国土空间规划的编制和审批。由于省市空间规划等上位规划还没有获批，建设用地、耕地等指标未最终确定下达，使我县规划成果存在不确定性。待省、市的相关政策出台，加快规划编制进度，力争规划早日获批。</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2、镇级国土空间规划及结转专项规划。县域国土规划获批后，督导各镇推进镇级国土空间规划的编制工作，同时加快推进县域综合防灾专项规划、中心城区地下空间开发利用专项规划。</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3、研究提高土地立体空间开发利用水平。转变用地观念，强化地上、地下立体空间开发利用效益。研究在商业繁华、人群车辆聚集地段，在确保人防、城市公共安全设施建设以及消防要求的同时，合理开发城市地下空间资源，出让地下空间使用权。</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4、积极协调沟通相关部门做好用地规划工作。在做好本股室日常工作的同时，密切配合其他科室的工作，积极协助高新区做好建设项目选址和建设工程用地的相关工作，确保项目成功落地。</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5、服务好全县建设项目设计方案联审工作。在建设工程项目规划方案审查中严格把关，使建设工程设计方案布局更加合理，建筑外观更具城市特色。</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6、启动县城两个重点片区城市设计。加强城市品质建设，编制好城市设计，提高城市硬环境，升华城市软环境，以此激发城市动力，把大厂的城市建设和管理推向更高水平，塑造我县良好的城市品牌形象。</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7、提高土地动态监测监管力度。加强土地动态监管工作，对近年来土地闲置、违约、交地情况进行梳理，把梳理结果落到一张图上以便于实时掌握土地使用情况。</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8、进一步加大土地供给力度。完善储备地块管护工作制度；严格遵守土地供应政策，按计划加快国有建设用地供应，尤其是批而未供土地，积极协调工业园区、财政等部门，通过划拨、撤销批文、招拍挂等方式重点解决批而未供土地；同时加大闲置土地处置力度，探索实行弹性年期出让，提高土地立体空间开发利用水平。</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9、认真谋划2021年春季造林工作。组织开展宜林地调查工作，结合各镇区实际和市级造林方案进行任务分解，拟定全县义务植树活动方案，高效组织实施林业有生物防治工作，同时对照创森标准做好创森的各项工作，全力以赴争取在国家林草局成功备案。</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10、做好基本农田整改补划工作。对永久基本农田整改补划中的违法用地、划定不实图斑会同执法股进行现场核实，并做好永久基本农田补划工作。待省里对园林地整改政策下来后，由政府主导、乡镇组织实施整改补划工作，完成我县永久基本农田保护目标任务。</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11、严格按要求完成森林督查工作。严格按照国家林草局下达的疑似图斑数量、情况、要求等进行核查、自查，摸清原由、底数，及时进行反馈，做好整改工作。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12、加快推进林长制各项工作。继续完善林长制各项制度建设，推进各级林长的巡查机制建设，加大“林长”＋“检察长”联席会议制度建设，积极宣传林长制工作，强化林业资源保护。</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13、加强地质灾害防治工作。加大地质灾害动态巡查力度，对可能发生地质灾害区域和隐患点进行拉网式巡查、排查，对工矿企业、沿河村庄等部位要进行重点巡查。</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（一）坚持规划引领，强化重要项目支撑</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1、加快推进国土空间规划编制。</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2、土地中期调整获批。</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3、严格执行控制性详细规划。</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4、合力推进各类市政工程规划建设。</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5、开展我县国土“三调”统一时点更新工作。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6、组织召开规委会工作。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（二）保障项目用地，全力推进项目建设</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1、科学编制2022年国有建设用地供应计划。</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2、加快土地组卷报批。</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3、推进土地收储工作。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4、加快闲置土地和低效用地处置。</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5、加大土地供应力度。</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（三）保护自然资源，生态建设成效显著</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1、全面启动创森工作。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2、超额完成造林绿化任务。</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3、做好林业有害生物防治工</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5、加强地质灾害防治。</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6、全面做好耕地保护工作。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（四）聚焦重点难点，维护权益成效突出</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1、优化不动产登记程序。</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2、大力处置“问题楼盘”。</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3、开展基础权籍和权属调查及审核工作。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4、开展我县国土“三调”统一时点更新工作。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5、行政复议与行政应诉工作有序开展。</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（五）坚持依法严惩，打击违法坚强有力</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1、存量违法用地清理整治工作。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2、违法用地清理整治三年专项行动工作。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3、农村耕地建房工作。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4、2022年耕地保护专项督查工作。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（六）全力支持配合，做好联动监督工作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1、积极开展清理规范违法违规圈占土地摸排工作。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2、协助房地产开发项目清理工作。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3、协助非房地产开发项目违规违建清理工作。</w:t>
      </w:r>
    </w:p>
    <w:p>
      <w:pPr>
        <w:pStyle w:val="14"/>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（七）加强沟通协商，确保提案办理质量</w:t>
      </w: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10"/>
        <w:tblW w:w="13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20"/>
        <w:gridCol w:w="1719"/>
        <w:gridCol w:w="1515"/>
        <w:gridCol w:w="2655"/>
        <w:gridCol w:w="2883"/>
        <w:gridCol w:w="543"/>
        <w:gridCol w:w="488"/>
        <w:gridCol w:w="78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71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1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6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1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20" w:type="dxa"/>
            <w:vMerge w:val="continue"/>
            <w:tcBorders>
              <w:tl2br w:val="nil"/>
              <w:tr2bl w:val="nil"/>
            </w:tcBorders>
            <w:vAlign w:val="center"/>
          </w:tcPr>
          <w:p/>
        </w:tc>
        <w:tc>
          <w:tcPr>
            <w:tcW w:w="1719" w:type="dxa"/>
            <w:vMerge w:val="continue"/>
            <w:tcBorders>
              <w:tl2br w:val="nil"/>
              <w:tr2bl w:val="nil"/>
            </w:tcBorders>
            <w:vAlign w:val="center"/>
          </w:tcPr>
          <w:p/>
        </w:tc>
        <w:tc>
          <w:tcPr>
            <w:tcW w:w="1515" w:type="dxa"/>
            <w:vMerge w:val="continue"/>
            <w:tcBorders>
              <w:tl2br w:val="nil"/>
              <w:tr2bl w:val="nil"/>
            </w:tcBorders>
            <w:vAlign w:val="center"/>
          </w:tcPr>
          <w:p/>
        </w:tc>
        <w:tc>
          <w:tcPr>
            <w:tcW w:w="2655" w:type="dxa"/>
            <w:vMerge w:val="continue"/>
            <w:tcBorders>
              <w:tl2br w:val="nil"/>
              <w:tr2bl w:val="nil"/>
            </w:tcBorders>
            <w:vAlign w:val="center"/>
          </w:tcPr>
          <w:p/>
        </w:tc>
        <w:tc>
          <w:tcPr>
            <w:tcW w:w="28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8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9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2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7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1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各项工作完成率</w:t>
            </w:r>
          </w:p>
        </w:tc>
        <w:tc>
          <w:tcPr>
            <w:tcW w:w="26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完成率每降低5%，扣减相应分值10%</w:t>
            </w:r>
          </w:p>
        </w:tc>
        <w:tc>
          <w:tcPr>
            <w:tcW w:w="28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上级安排的各项工作完成情况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7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5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20" w:type="dxa"/>
            <w:vMerge w:val="continue"/>
            <w:tcBorders>
              <w:tl2br w:val="nil"/>
              <w:tr2bl w:val="nil"/>
            </w:tcBorders>
            <w:vAlign w:val="center"/>
          </w:tcPr>
          <w:p/>
        </w:tc>
        <w:tc>
          <w:tcPr>
            <w:tcW w:w="17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1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运行正常运转率</w:t>
            </w:r>
          </w:p>
        </w:tc>
        <w:tc>
          <w:tcPr>
            <w:tcW w:w="26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完成率每降低5%，扣减相应分值10%</w:t>
            </w:r>
          </w:p>
        </w:tc>
        <w:tc>
          <w:tcPr>
            <w:tcW w:w="28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机关单位正常运转情况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98</w:t>
            </w:r>
          </w:p>
        </w:tc>
        <w:tc>
          <w:tcPr>
            <w:tcW w:w="7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5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20" w:type="dxa"/>
            <w:vMerge w:val="continue"/>
            <w:tcBorders>
              <w:tl2br w:val="nil"/>
              <w:tr2bl w:val="nil"/>
            </w:tcBorders>
            <w:vAlign w:val="center"/>
          </w:tcPr>
          <w:p/>
        </w:tc>
        <w:tc>
          <w:tcPr>
            <w:tcW w:w="17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1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工作完成时间</w:t>
            </w:r>
          </w:p>
        </w:tc>
        <w:tc>
          <w:tcPr>
            <w:tcW w:w="26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工作完成时间每减少10天，扣减相应分值10%</w:t>
            </w:r>
          </w:p>
        </w:tc>
        <w:tc>
          <w:tcPr>
            <w:tcW w:w="28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365</w:t>
            </w:r>
          </w:p>
        </w:tc>
        <w:tc>
          <w:tcPr>
            <w:tcW w:w="781"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天</w:t>
            </w:r>
          </w:p>
        </w:tc>
        <w:tc>
          <w:tcPr>
            <w:tcW w:w="15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自然年度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20" w:type="dxa"/>
            <w:vMerge w:val="continue"/>
            <w:tcBorders>
              <w:tl2br w:val="nil"/>
              <w:tr2bl w:val="nil"/>
            </w:tcBorders>
            <w:vAlign w:val="center"/>
          </w:tcPr>
          <w:p/>
        </w:tc>
        <w:tc>
          <w:tcPr>
            <w:tcW w:w="17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1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成本控制</w:t>
            </w:r>
          </w:p>
        </w:tc>
        <w:tc>
          <w:tcPr>
            <w:tcW w:w="26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成本控制每超出预算10%，扣减相应分值10%</w:t>
            </w:r>
          </w:p>
        </w:tc>
        <w:tc>
          <w:tcPr>
            <w:tcW w:w="28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成本控制与年初预算对比情况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w:t>
            </w:r>
          </w:p>
        </w:tc>
        <w:tc>
          <w:tcPr>
            <w:tcW w:w="78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5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2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71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1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成果转化数</w:t>
            </w:r>
          </w:p>
        </w:tc>
        <w:tc>
          <w:tcPr>
            <w:tcW w:w="26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每减少1次，扣减相应分值10%</w:t>
            </w:r>
          </w:p>
        </w:tc>
        <w:tc>
          <w:tcPr>
            <w:tcW w:w="28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规划成果转化利用次数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15</w:t>
            </w:r>
          </w:p>
        </w:tc>
        <w:tc>
          <w:tcPr>
            <w:tcW w:w="781"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次</w:t>
            </w:r>
          </w:p>
        </w:tc>
        <w:tc>
          <w:tcPr>
            <w:tcW w:w="15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20" w:type="dxa"/>
            <w:vMerge w:val="continue"/>
            <w:tcBorders>
              <w:tl2br w:val="nil"/>
              <w:tr2bl w:val="nil"/>
            </w:tcBorders>
            <w:vAlign w:val="center"/>
          </w:tcPr>
          <w:p/>
        </w:tc>
        <w:tc>
          <w:tcPr>
            <w:tcW w:w="17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1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经济发展</w:t>
            </w:r>
          </w:p>
        </w:tc>
        <w:tc>
          <w:tcPr>
            <w:tcW w:w="2655" w:type="dxa"/>
            <w:tcBorders>
              <w:tl2br w:val="nil"/>
              <w:tr2bl w:val="nil"/>
            </w:tcBorders>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完成目标得满分，未完成不得分</w:t>
            </w:r>
          </w:p>
        </w:tc>
        <w:tc>
          <w:tcPr>
            <w:tcW w:w="2883" w:type="dxa"/>
            <w:tcBorders>
              <w:tl2br w:val="nil"/>
              <w:tr2bl w:val="nil"/>
            </w:tcBorders>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合理利用、开发我县自然资源，促进经济发展</w:t>
            </w:r>
          </w:p>
        </w:tc>
        <w:tc>
          <w:tcPr>
            <w:tcW w:w="543" w:type="dxa"/>
            <w:tcBorders>
              <w:tl2br w:val="nil"/>
              <w:tr2bl w:val="nil"/>
            </w:tcBorders>
            <w:vAlign w:val="top"/>
          </w:tcPr>
          <w:p>
            <w:pPr>
              <w:widowControl/>
              <w:adjustRightInd w:val="0"/>
              <w:snapToGrid w:val="0"/>
              <w:rPr>
                <w:rFonts w:hint="eastAsia" w:ascii="方正书宋_GBK" w:eastAsia="方正书宋_GBK" w:cs="Arial"/>
                <w:lang w:val="en-US" w:eastAsia="zh-CN"/>
              </w:rPr>
            </w:pPr>
            <w:r>
              <w:rPr>
                <w:rFonts w:hint="eastAsia" w:ascii="方正书宋_GBK" w:eastAsia="方正书宋_GBK" w:cs="Arial"/>
                <w:lang w:val="en-US" w:eastAsia="zh-CN"/>
              </w:rPr>
              <w:t>文字</w:t>
            </w:r>
            <w:r>
              <w:rPr>
                <w:rFonts w:hint="default" w:ascii="方正书宋_GBK" w:eastAsia="方正书宋_GBK" w:cs="Arial"/>
                <w:lang w:val="en-US" w:eastAsia="zh-CN"/>
              </w:rPr>
              <w:t>描述</w:t>
            </w:r>
          </w:p>
        </w:tc>
        <w:tc>
          <w:tcPr>
            <w:tcW w:w="488" w:type="dxa"/>
            <w:tcBorders>
              <w:tl2br w:val="nil"/>
              <w:tr2bl w:val="nil"/>
            </w:tcBorders>
            <w:vAlign w:val="center"/>
          </w:tcPr>
          <w:p>
            <w:pPr>
              <w:widowControl/>
              <w:adjustRightInd w:val="0"/>
              <w:snapToGrid w:val="0"/>
              <w:rPr>
                <w:rFonts w:hint="eastAsia" w:ascii="方正书宋_GBK" w:eastAsia="方正书宋_GBK" w:cs="Arial"/>
              </w:rPr>
            </w:pPr>
          </w:p>
        </w:tc>
        <w:tc>
          <w:tcPr>
            <w:tcW w:w="781" w:type="dxa"/>
            <w:tcBorders>
              <w:tl2br w:val="nil"/>
              <w:tr2bl w:val="nil"/>
            </w:tcBorders>
            <w:vAlign w:val="center"/>
          </w:tcPr>
          <w:p>
            <w:pPr>
              <w:widowControl/>
              <w:adjustRightInd w:val="0"/>
              <w:snapToGrid w:val="0"/>
              <w:rPr>
                <w:rFonts w:hint="eastAsia" w:ascii="方正书宋_GBK" w:eastAsia="方正书宋_GBK" w:cs="Arial"/>
              </w:rPr>
            </w:pPr>
            <w:r>
              <w:rPr>
                <w:rFonts w:hint="eastAsia" w:ascii="方正书宋_GBK" w:eastAsia="方正书宋_GBK" w:cs="Arial"/>
              </w:rPr>
              <w:t>有力促进</w:t>
            </w:r>
          </w:p>
        </w:tc>
        <w:tc>
          <w:tcPr>
            <w:tcW w:w="1590" w:type="dxa"/>
            <w:tcBorders>
              <w:tl2br w:val="nil"/>
              <w:tr2bl w:val="nil"/>
            </w:tcBorders>
            <w:vAlign w:val="center"/>
          </w:tcPr>
          <w:p>
            <w:pPr>
              <w:widowControl/>
              <w:adjustRightInd w:val="0"/>
              <w:snapToGrid w:val="0"/>
              <w:rPr>
                <w:rFonts w:hint="eastAsia" w:ascii="方正书宋_GBK" w:eastAsia="方正书宋_GBK" w:cs="Arial"/>
              </w:rPr>
            </w:pPr>
            <w:r>
              <w:rPr>
                <w:rFonts w:hint="eastAsia" w:ascii="方正书宋_GBK" w:eastAsia="方正书宋_GBK" w:cs="Arial"/>
              </w:rPr>
              <w:t>年度工作总结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20" w:type="dxa"/>
            <w:vMerge w:val="continue"/>
            <w:tcBorders>
              <w:tl2br w:val="nil"/>
              <w:tr2bl w:val="nil"/>
            </w:tcBorders>
            <w:vAlign w:val="center"/>
          </w:tcPr>
          <w:p/>
        </w:tc>
        <w:tc>
          <w:tcPr>
            <w:tcW w:w="17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15" w:type="dxa"/>
            <w:tcBorders>
              <w:tl2br w:val="nil"/>
              <w:tr2bl w:val="nil"/>
            </w:tcBorders>
            <w:vAlign w:val="center"/>
          </w:tcPr>
          <w:p>
            <w:pPr>
              <w:widowControl/>
              <w:adjustRightInd w:val="0"/>
              <w:snapToGrid w:val="0"/>
              <w:rPr>
                <w:rFonts w:ascii="方正书宋_GBK" w:eastAsia="方正书宋_GBK"/>
              </w:rPr>
            </w:pPr>
          </w:p>
        </w:tc>
        <w:tc>
          <w:tcPr>
            <w:tcW w:w="2655" w:type="dxa"/>
            <w:tcBorders>
              <w:tl2br w:val="nil"/>
              <w:tr2bl w:val="nil"/>
            </w:tcBorders>
            <w:vAlign w:val="center"/>
          </w:tcPr>
          <w:p>
            <w:pPr>
              <w:widowControl/>
              <w:adjustRightInd w:val="0"/>
              <w:snapToGrid w:val="0"/>
              <w:rPr>
                <w:rFonts w:ascii="方正书宋_GBK" w:eastAsia="方正书宋_GBK"/>
              </w:rPr>
            </w:pPr>
          </w:p>
        </w:tc>
        <w:tc>
          <w:tcPr>
            <w:tcW w:w="28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781" w:type="dxa"/>
            <w:tcBorders>
              <w:tl2br w:val="nil"/>
              <w:tr2bl w:val="nil"/>
            </w:tcBorders>
            <w:vAlign w:val="center"/>
          </w:tcPr>
          <w:p>
            <w:pPr>
              <w:widowControl/>
              <w:adjustRightInd w:val="0"/>
              <w:snapToGrid w:val="0"/>
              <w:rPr>
                <w:rFonts w:ascii="方正书宋_GBK" w:eastAsia="方正书宋_GBK"/>
              </w:rPr>
            </w:pPr>
          </w:p>
        </w:tc>
        <w:tc>
          <w:tcPr>
            <w:tcW w:w="1590"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20" w:type="dxa"/>
            <w:vMerge w:val="continue"/>
            <w:tcBorders>
              <w:tl2br w:val="nil"/>
              <w:tr2bl w:val="nil"/>
            </w:tcBorders>
            <w:vAlign w:val="center"/>
          </w:tcPr>
          <w:p/>
        </w:tc>
        <w:tc>
          <w:tcPr>
            <w:tcW w:w="1719"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15" w:type="dxa"/>
            <w:tcBorders>
              <w:tl2br w:val="nil"/>
              <w:tr2bl w:val="nil"/>
            </w:tcBorders>
            <w:noWrap/>
            <w:vAlign w:val="center"/>
          </w:tcPr>
          <w:p>
            <w:pPr>
              <w:widowControl/>
              <w:adjustRightInd w:val="0"/>
              <w:snapToGrid w:val="0"/>
              <w:rPr>
                <w:rFonts w:hint="eastAsia" w:ascii="方正书宋_GBK" w:eastAsia="方正书宋_GBK" w:cs="Arial"/>
              </w:rPr>
            </w:pPr>
            <w:r>
              <w:rPr>
                <w:rFonts w:hint="eastAsia" w:ascii="方正书宋_GBK" w:eastAsia="方正书宋_GBK" w:cs="Arial"/>
              </w:rPr>
              <w:t>可持续性</w:t>
            </w:r>
          </w:p>
        </w:tc>
        <w:tc>
          <w:tcPr>
            <w:tcW w:w="2655" w:type="dxa"/>
            <w:tcBorders>
              <w:tl2br w:val="nil"/>
              <w:tr2bl w:val="nil"/>
            </w:tcBorders>
            <w:noWrap/>
            <w:vAlign w:val="top"/>
          </w:tcPr>
          <w:p>
            <w:pPr>
              <w:widowControl/>
              <w:adjustRightInd w:val="0"/>
              <w:snapToGrid w:val="0"/>
              <w:rPr>
                <w:rFonts w:hint="eastAsia" w:ascii="方正书宋_GBK" w:eastAsia="方正书宋_GBK" w:cs="Arial"/>
                <w:lang w:val="en-US" w:eastAsia="zh-CN"/>
              </w:rPr>
            </w:pPr>
            <w:r>
              <w:rPr>
                <w:rFonts w:hint="eastAsia" w:ascii="方正书宋_GBK" w:eastAsia="方正书宋_GBK" w:cs="Arial"/>
                <w:lang w:val="en-US" w:eastAsia="zh-CN"/>
              </w:rPr>
              <w:t>完成目标得满分，未完成不得分</w:t>
            </w:r>
          </w:p>
        </w:tc>
        <w:tc>
          <w:tcPr>
            <w:tcW w:w="2883" w:type="dxa"/>
            <w:tcBorders>
              <w:tl2br w:val="nil"/>
              <w:tr2bl w:val="nil"/>
            </w:tcBorders>
            <w:noWrap/>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自然资源等利用情况持续性</w:t>
            </w:r>
          </w:p>
        </w:tc>
        <w:tc>
          <w:tcPr>
            <w:tcW w:w="543" w:type="dxa"/>
            <w:tcBorders>
              <w:tl2br w:val="nil"/>
              <w:tr2bl w:val="nil"/>
            </w:tcBorders>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文字描述</w:t>
            </w:r>
          </w:p>
        </w:tc>
        <w:tc>
          <w:tcPr>
            <w:tcW w:w="488" w:type="dxa"/>
            <w:tcBorders>
              <w:tl2br w:val="nil"/>
              <w:tr2bl w:val="nil"/>
            </w:tcBorders>
            <w:vAlign w:val="center"/>
          </w:tcPr>
          <w:p>
            <w:pPr>
              <w:widowControl/>
              <w:adjustRightInd w:val="0"/>
              <w:snapToGrid w:val="0"/>
              <w:rPr>
                <w:rFonts w:hint="eastAsia" w:ascii="方正书宋_GBK" w:eastAsia="方正书宋_GBK" w:cs="Arial"/>
              </w:rPr>
            </w:pPr>
          </w:p>
        </w:tc>
        <w:tc>
          <w:tcPr>
            <w:tcW w:w="781" w:type="dxa"/>
            <w:tcBorders>
              <w:tl2br w:val="nil"/>
              <w:tr2bl w:val="nil"/>
            </w:tcBorders>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可持续</w:t>
            </w:r>
          </w:p>
        </w:tc>
        <w:tc>
          <w:tcPr>
            <w:tcW w:w="1590" w:type="dxa"/>
            <w:tcBorders>
              <w:tl2br w:val="nil"/>
              <w:tr2bl w:val="nil"/>
            </w:tcBorders>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相关工作总结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420" w:type="dxa"/>
            <w:vMerge w:val="continue"/>
            <w:tcBorders>
              <w:tl2br w:val="nil"/>
              <w:tr2bl w:val="nil"/>
            </w:tcBorders>
            <w:vAlign w:val="center"/>
          </w:tcPr>
          <w:p/>
        </w:tc>
        <w:tc>
          <w:tcPr>
            <w:tcW w:w="171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15" w:type="dxa"/>
            <w:tcBorders>
              <w:tl2br w:val="nil"/>
              <w:tr2bl w:val="nil"/>
            </w:tcBorders>
            <w:noWrap/>
            <w:vAlign w:val="center"/>
          </w:tcPr>
          <w:p>
            <w:pPr>
              <w:widowControl/>
              <w:adjustRightInd w:val="0"/>
              <w:snapToGrid w:val="0"/>
              <w:rPr>
                <w:rFonts w:hint="eastAsia" w:ascii="方正书宋_GBK" w:eastAsia="方正书宋_GBK" w:cs="Arial"/>
              </w:rPr>
            </w:pPr>
            <w:r>
              <w:rPr>
                <w:rFonts w:hint="eastAsia" w:ascii="方正书宋_GBK" w:eastAsia="方正书宋_GBK" w:cs="Arial"/>
              </w:rPr>
              <w:t>社会公众和服务对象满意度</w:t>
            </w:r>
          </w:p>
        </w:tc>
        <w:tc>
          <w:tcPr>
            <w:tcW w:w="2655" w:type="dxa"/>
            <w:tcBorders>
              <w:tl2br w:val="nil"/>
              <w:tr2bl w:val="nil"/>
            </w:tcBorders>
            <w:noWrap/>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满意度每降5%，扣减相应分值10%</w:t>
            </w:r>
          </w:p>
        </w:tc>
        <w:tc>
          <w:tcPr>
            <w:tcW w:w="2883" w:type="dxa"/>
            <w:tcBorders>
              <w:tl2br w:val="nil"/>
              <w:tr2bl w:val="nil"/>
            </w:tcBorders>
            <w:noWrap/>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社会公众和服务对象满意度</w:t>
            </w:r>
          </w:p>
        </w:tc>
        <w:tc>
          <w:tcPr>
            <w:tcW w:w="543" w:type="dxa"/>
            <w:tcBorders>
              <w:tl2br w:val="nil"/>
              <w:tr2bl w:val="nil"/>
            </w:tcBorders>
            <w:vAlign w:val="center"/>
          </w:tcPr>
          <w:p>
            <w:pPr>
              <w:widowControl/>
              <w:adjustRightInd w:val="0"/>
              <w:snapToGrid w:val="0"/>
              <w:rPr>
                <w:rFonts w:hint="eastAsia" w:ascii="方正书宋_GBK" w:eastAsia="方正书宋_GBK" w:cs="Arial"/>
              </w:rPr>
            </w:pPr>
          </w:p>
        </w:tc>
        <w:tc>
          <w:tcPr>
            <w:tcW w:w="488" w:type="dxa"/>
            <w:tcBorders>
              <w:tl2br w:val="nil"/>
              <w:tr2bl w:val="nil"/>
            </w:tcBorders>
            <w:vAlign w:val="center"/>
          </w:tcPr>
          <w:p>
            <w:pPr>
              <w:widowControl/>
              <w:adjustRightInd w:val="0"/>
              <w:snapToGrid w:val="0"/>
              <w:rPr>
                <w:rFonts w:hint="default" w:ascii="方正书宋_GBK" w:eastAsia="方正书宋_GBK" w:cs="Arial"/>
                <w:lang w:val="en-US" w:eastAsia="zh-CN"/>
              </w:rPr>
            </w:pPr>
            <w:r>
              <w:rPr>
                <w:rFonts w:hint="eastAsia" w:ascii="方正书宋_GBK" w:eastAsia="方正书宋_GBK" w:cs="Arial"/>
                <w:lang w:val="en-US" w:eastAsia="zh-CN"/>
              </w:rPr>
              <w:t>95</w:t>
            </w:r>
          </w:p>
        </w:tc>
        <w:tc>
          <w:tcPr>
            <w:tcW w:w="781" w:type="dxa"/>
            <w:tcBorders>
              <w:tl2br w:val="nil"/>
              <w:tr2bl w:val="nil"/>
            </w:tcBorders>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百分比</w:t>
            </w:r>
          </w:p>
        </w:tc>
        <w:tc>
          <w:tcPr>
            <w:tcW w:w="1590" w:type="dxa"/>
            <w:tcBorders>
              <w:tl2br w:val="nil"/>
              <w:tr2bl w:val="nil"/>
            </w:tcBorders>
            <w:vAlign w:val="top"/>
          </w:tcPr>
          <w:p>
            <w:pPr>
              <w:widowControl/>
              <w:adjustRightInd w:val="0"/>
              <w:snapToGrid w:val="0"/>
              <w:rPr>
                <w:rFonts w:hint="eastAsia" w:ascii="方正书宋_GBK" w:eastAsia="方正书宋_GBK" w:cs="Arial"/>
                <w:lang w:val="en-US" w:eastAsia="zh-CN"/>
              </w:rPr>
            </w:pPr>
            <w:r>
              <w:rPr>
                <w:rFonts w:hint="default" w:ascii="方正书宋_GBK" w:eastAsia="方正书宋_GBK" w:cs="Arial"/>
                <w:lang w:val="en-US" w:eastAsia="zh-CN"/>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9"/>
        <w:rPr>
          <w:rFonts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lang w:eastAsia="zh-CN"/>
        </w:rPr>
        <w:t>1、不动产办公经费绩效目标表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绩效目标</w:t>
            </w:r>
          </w:p>
        </w:tc>
        <w:tc>
          <w:tcPr>
            <w:tcW w:w="12756" w:type="dxa"/>
            <w:tcBorders>
              <w:bottom w:val="single" w:color="FFFFFF" w:sz="6" w:space="0"/>
            </w:tcBorders>
            <w:noWrap w:val="0"/>
            <w:vAlign w:val="center"/>
          </w:tcPr>
          <w:p>
            <w:pPr>
              <w:pStyle w:val="17"/>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1.满足不动产日常办公需求，保证不动产工作正常运行</w:t>
            </w:r>
          </w:p>
        </w:tc>
      </w:tr>
    </w:tbl>
    <w:p>
      <w:pPr>
        <w:spacing w:before="0" w:after="0" w:line="2" w:lineRule="exact"/>
        <w:ind w:firstLine="0"/>
        <w:jc w:val="center"/>
        <w:outlineLvl w:val="9"/>
        <w:rPr>
          <w:rFonts w:ascii="仿宋" w:hAnsi="仿宋" w:eastAsia="仿宋" w:cs="Times New Roman"/>
          <w:b/>
          <w:kern w:val="2"/>
          <w:sz w:val="21"/>
          <w:szCs w:val="22"/>
          <w:lang w:val="en-US" w:eastAsia="zh-CN" w:bidi="ar-SA"/>
        </w:rPr>
      </w:pPr>
      <w:r>
        <w:rPr>
          <w:rFonts w:ascii="仿宋" w:hAnsi="仿宋" w:eastAsia="仿宋" w:cs="Times New Roman"/>
          <w:b/>
          <w:kern w:val="2"/>
          <w:sz w:val="21"/>
          <w:szCs w:val="22"/>
          <w:lang w:val="en-US" w:eastAsia="zh-CN" w:bidi="ar-SA"/>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一级指标</w:t>
            </w:r>
          </w:p>
        </w:tc>
        <w:tc>
          <w:tcPr>
            <w:tcW w:w="2268" w:type="dxa"/>
            <w:noWrap w:val="0"/>
            <w:vAlign w:val="center"/>
          </w:tcPr>
          <w:p>
            <w:pPr>
              <w:pStyle w:val="17"/>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二级指标</w:t>
            </w:r>
          </w:p>
        </w:tc>
        <w:tc>
          <w:tcPr>
            <w:tcW w:w="2835" w:type="dxa"/>
            <w:noWrap w:val="0"/>
            <w:vAlign w:val="center"/>
          </w:tcPr>
          <w:p>
            <w:pPr>
              <w:pStyle w:val="17"/>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三级指标</w:t>
            </w:r>
          </w:p>
        </w:tc>
        <w:tc>
          <w:tcPr>
            <w:tcW w:w="2835" w:type="dxa"/>
            <w:noWrap w:val="0"/>
            <w:vAlign w:val="center"/>
          </w:tcPr>
          <w:p>
            <w:pPr>
              <w:pStyle w:val="17"/>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绩效指标描述</w:t>
            </w:r>
          </w:p>
        </w:tc>
        <w:tc>
          <w:tcPr>
            <w:tcW w:w="2551" w:type="dxa"/>
            <w:noWrap w:val="0"/>
            <w:vAlign w:val="center"/>
          </w:tcPr>
          <w:p>
            <w:pPr>
              <w:pStyle w:val="17"/>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指标值</w:t>
            </w:r>
          </w:p>
        </w:tc>
        <w:tc>
          <w:tcPr>
            <w:tcW w:w="2268" w:type="dxa"/>
            <w:noWrap w:val="0"/>
            <w:vAlign w:val="center"/>
          </w:tcPr>
          <w:p>
            <w:pPr>
              <w:pStyle w:val="17"/>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产出指标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数量指标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日常办公人数</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46人日常办公经费</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46人</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大自然规[2019]36号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p>
        </w:tc>
        <w:tc>
          <w:tcPr>
            <w:tcW w:w="2268"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质量指标</w:t>
            </w:r>
          </w:p>
        </w:tc>
        <w:tc>
          <w:tcPr>
            <w:tcW w:w="2835"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设备、耗材质量达标率</w:t>
            </w:r>
          </w:p>
        </w:tc>
        <w:tc>
          <w:tcPr>
            <w:tcW w:w="2835"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采购所需设备、耗材质量达标情况</w:t>
            </w:r>
          </w:p>
        </w:tc>
        <w:tc>
          <w:tcPr>
            <w:tcW w:w="2551"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100%</w:t>
            </w:r>
          </w:p>
        </w:tc>
        <w:tc>
          <w:tcPr>
            <w:tcW w:w="2268"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大自然规[2019]36号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p>
        </w:tc>
        <w:tc>
          <w:tcPr>
            <w:tcW w:w="2268"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时效指标</w:t>
            </w:r>
          </w:p>
        </w:tc>
        <w:tc>
          <w:tcPr>
            <w:tcW w:w="2835"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设备采购及时率</w:t>
            </w:r>
          </w:p>
        </w:tc>
        <w:tc>
          <w:tcPr>
            <w:tcW w:w="2835"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采购设备、耗材部署是否按工作计划及时完成</w:t>
            </w:r>
          </w:p>
        </w:tc>
        <w:tc>
          <w:tcPr>
            <w:tcW w:w="2551"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100%</w:t>
            </w:r>
          </w:p>
        </w:tc>
        <w:tc>
          <w:tcPr>
            <w:tcW w:w="2268"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p>
        </w:tc>
        <w:tc>
          <w:tcPr>
            <w:tcW w:w="2268"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成本指标</w:t>
            </w:r>
          </w:p>
        </w:tc>
        <w:tc>
          <w:tcPr>
            <w:tcW w:w="2835"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超预算比例</w:t>
            </w:r>
          </w:p>
        </w:tc>
        <w:tc>
          <w:tcPr>
            <w:tcW w:w="2835"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（实际支付资金-预算资金）/预算资金*100%</w:t>
            </w:r>
          </w:p>
        </w:tc>
        <w:tc>
          <w:tcPr>
            <w:tcW w:w="2551"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0.1%</w:t>
            </w:r>
          </w:p>
        </w:tc>
        <w:tc>
          <w:tcPr>
            <w:tcW w:w="2268"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效益指标</w:t>
            </w:r>
          </w:p>
        </w:tc>
        <w:tc>
          <w:tcPr>
            <w:tcW w:w="2268"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社会效益指标</w:t>
            </w:r>
          </w:p>
        </w:tc>
        <w:tc>
          <w:tcPr>
            <w:tcW w:w="2835"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不动产办公处服务率</w:t>
            </w:r>
          </w:p>
        </w:tc>
        <w:tc>
          <w:tcPr>
            <w:tcW w:w="2835"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不动产办公处对外提供服务时间占全年时间比率</w:t>
            </w:r>
          </w:p>
        </w:tc>
        <w:tc>
          <w:tcPr>
            <w:tcW w:w="2551"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100%</w:t>
            </w:r>
          </w:p>
        </w:tc>
        <w:tc>
          <w:tcPr>
            <w:tcW w:w="2268"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p>
        </w:tc>
        <w:tc>
          <w:tcPr>
            <w:tcW w:w="2268"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可持续影响指标</w:t>
            </w:r>
          </w:p>
        </w:tc>
        <w:tc>
          <w:tcPr>
            <w:tcW w:w="2835"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不动产办公处正常运行时间</w:t>
            </w:r>
          </w:p>
        </w:tc>
        <w:tc>
          <w:tcPr>
            <w:tcW w:w="2835"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不动产办公处正常运行时间</w:t>
            </w:r>
          </w:p>
        </w:tc>
        <w:tc>
          <w:tcPr>
            <w:tcW w:w="2551"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1年</w:t>
            </w:r>
          </w:p>
        </w:tc>
        <w:tc>
          <w:tcPr>
            <w:tcW w:w="2268" w:type="dxa"/>
            <w:noWrap w:val="0"/>
            <w:vAlign w:val="center"/>
          </w:tcPr>
          <w:p>
            <w:pPr>
              <w:widowControl w:val="0"/>
              <w:spacing w:line="300" w:lineRule="exact"/>
              <w:jc w:val="center"/>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满意度指标</w:t>
            </w:r>
          </w:p>
        </w:tc>
        <w:tc>
          <w:tcPr>
            <w:tcW w:w="2268"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服务对象满意度指标</w:t>
            </w:r>
          </w:p>
        </w:tc>
        <w:tc>
          <w:tcPr>
            <w:tcW w:w="2835"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满意率</w:t>
            </w:r>
          </w:p>
        </w:tc>
        <w:tc>
          <w:tcPr>
            <w:tcW w:w="2835"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服务对象满意度</w:t>
            </w:r>
          </w:p>
        </w:tc>
        <w:tc>
          <w:tcPr>
            <w:tcW w:w="2551"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95%</w:t>
            </w:r>
          </w:p>
        </w:tc>
        <w:tc>
          <w:tcPr>
            <w:tcW w:w="2268" w:type="dxa"/>
            <w:noWrap w:val="0"/>
            <w:vAlign w:val="center"/>
          </w:tcPr>
          <w:p>
            <w:pPr>
              <w:pStyle w:val="19"/>
              <w:rPr>
                <w:rFonts w:ascii="方正书宋_GBK" w:hAnsi="方正书宋_GBK" w:eastAsia="方正书宋_GBK" w:cs="方正书宋_GBK"/>
                <w:kern w:val="2"/>
                <w:sz w:val="21"/>
                <w:szCs w:val="22"/>
                <w:lang w:val="en-US" w:eastAsia="zh-CN" w:bidi="ar-SA"/>
              </w:rPr>
            </w:pPr>
            <w:r>
              <w:rPr>
                <w:rFonts w:ascii="方正书宋_GBK" w:hAnsi="方正书宋_GBK" w:eastAsia="方正书宋_GBK" w:cs="方正书宋_GBK"/>
                <w:kern w:val="2"/>
                <w:sz w:val="21"/>
                <w:szCs w:val="22"/>
                <w:lang w:val="en-US" w:eastAsia="zh-CN" w:bidi="ar-SA"/>
              </w:rP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2、法律顾问、复议诉讼经费绩效目标表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1.切实加强土地违法案件诉讼、土地纠纷调处等工作力度</w:t>
            </w:r>
          </w:p>
          <w:p>
            <w:pPr>
              <w:pStyle w:val="18"/>
            </w:pPr>
            <w:r>
              <w:t>2.全面树立勤政、廉洁、务实、高效的执法形象。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产出指标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数量指标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诉讼案件数量</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诉讼案件数量</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≤7件</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质量指标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足额支付</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足额支付</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100%</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时效指标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完成时间</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完成时间</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1年</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成本指标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成本超预算比例</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超预算金额占预算金额的比例</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0.01%</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效益指标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社会效益指标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支付完成率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支付案件受理费</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100%</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可持续影响指标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维护社会稳定持续性</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维护社会稳定持续性</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长期</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满意度指标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服务对象满意度指标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服务对象满意度</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服务对象满意度</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100%</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3、耕地与永久基本农田保护工作经费绩效目标表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1.以第三次全国国土调查确定的真是耕地状况为本地，已国土空间规划确定的耕地和永久基本农田保护任务为目标，坚决遏制耕地“非农化”、防止“非粮化”的工作要求，做好日常耕地卫片的巡查、整改工作。</w:t>
            </w:r>
          </w:p>
          <w:p>
            <w:pPr>
              <w:pStyle w:val="18"/>
            </w:pPr>
            <w:r>
              <w:t>2.通过项目的开展，加大对基本农田建设和保护的宣传力度，提高全社会保护农田的意识，促进基本农田保护的工作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产出指标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数量指标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开展专项业务次数</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开展专项业务次数</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2次</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质量指标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任务完成质量达标率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按照工作计划完成上级主管部门制定的工作内容</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100%</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时效指标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工作按时完成率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按时完成的任务占总任务的比例</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100%</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成本指标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超预算比例</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超预算比例</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≤10%</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部门预算安排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效益指标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社会效益指标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提高耕地保护意识</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利用耕地保护工作及耕地卫片的开展，提高广大群众耕地保护的意识</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≥90%</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可持续影响指标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推广影响时间</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推广影响时间</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1年</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满意度指标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服务对象满意度指标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服务对象满意度</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满意人数占总人数的比例</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≥90%</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4、林长制办公室工作经费绩效目标表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 xml:space="preserve">1.通过项目的开展实现我县林长制工作正常开展，保障林长制办公室正常运转。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产出指标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数量指标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林长制宣传次数</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采取各种宣传方式</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≥8次</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质量指标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保障林长制办公室正常运转率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保障林长制办公室正常运转</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≥95%</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时效指标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组织各种林长制培训次数</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组织各种林长制培训</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≥4次</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成本指标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成本超预算比例</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超预算金额占预算的比例</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0.01%</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效益指标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社会效益指标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采购新设备和零星办公用品批数</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采购新设备和零星办公用品</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1批</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经济效益指标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保护、发展森林资源率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保护和发展森林资源，禁止责任区内破坏森林采用行为</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≥95%</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pStyle w:val="19"/>
              <w:rPr>
                <w:rFonts w:ascii="方正书宋_GBK" w:hAnsi="方正书宋_GBK" w:eastAsia="方正书宋_GBK" w:cs="方正书宋_GBK"/>
                <w:lang w:val="en-US" w:eastAsia="zh-CN"/>
              </w:rPr>
            </w:pP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可持续影响指标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保持森林资源可持续发展率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保持森林资源可持续发展</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≥95%</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冀办传[2021]15号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满意度指标</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服务对象满意度指标</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政府满意度</w:t>
            </w:r>
          </w:p>
        </w:tc>
        <w:tc>
          <w:tcPr>
            <w:tcW w:w="2835"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政府满意度</w:t>
            </w:r>
          </w:p>
        </w:tc>
        <w:tc>
          <w:tcPr>
            <w:tcW w:w="2551"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≥100%</w:t>
            </w:r>
          </w:p>
        </w:tc>
        <w:tc>
          <w:tcPr>
            <w:tcW w:w="2268" w:type="dxa"/>
            <w:noWrap w:val="0"/>
            <w:vAlign w:val="center"/>
          </w:tcPr>
          <w:p>
            <w:pPr>
              <w:pStyle w:val="19"/>
              <w:rPr>
                <w:rFonts w:ascii="方正书宋_GBK" w:hAnsi="方正书宋_GBK" w:eastAsia="方正书宋_GBK" w:cs="方正书宋_GBK"/>
                <w:lang w:val="en-US" w:eastAsia="zh-CN"/>
              </w:rPr>
            </w:pPr>
            <w:r>
              <w:rPr>
                <w:rFonts w:ascii="方正书宋_GBK" w:hAnsi="方正书宋_GBK" w:eastAsia="方正书宋_GBK" w:cs="方正书宋_GBK"/>
                <w:lang w:val="en-US" w:eastAsia="zh-CN"/>
              </w:rPr>
              <w:t>落实工作程度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5、绿化委员会经费绩效目标表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1.通过绿化委员会经费的使用支出，提高全县义务植树管理和宣传水平，提高公民义务植树知晓率和尽责率。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苗木数量</w:t>
            </w:r>
          </w:p>
        </w:tc>
        <w:tc>
          <w:tcPr>
            <w:tcW w:w="2835" w:type="dxa"/>
            <w:noWrap w:val="0"/>
            <w:vAlign w:val="center"/>
          </w:tcPr>
          <w:p>
            <w:pPr>
              <w:pStyle w:val="18"/>
            </w:pPr>
            <w:r>
              <w:t>全县义务植树购买苗木</w:t>
            </w:r>
          </w:p>
        </w:tc>
        <w:tc>
          <w:tcPr>
            <w:tcW w:w="2551" w:type="dxa"/>
            <w:noWrap w:val="0"/>
            <w:vAlign w:val="center"/>
          </w:tcPr>
          <w:p>
            <w:pPr>
              <w:pStyle w:val="18"/>
            </w:pPr>
            <w:r>
              <w:t>≤400株</w:t>
            </w:r>
          </w:p>
        </w:tc>
        <w:tc>
          <w:tcPr>
            <w:tcW w:w="2268" w:type="dxa"/>
            <w:noWrap w:val="0"/>
            <w:vAlign w:val="center"/>
          </w:tcPr>
          <w:p>
            <w:pPr>
              <w:pStyle w:val="18"/>
            </w:pPr>
            <w:r>
              <w:t>依据《河北省义务植树条例》和2021年实际支出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成活率</w:t>
            </w:r>
          </w:p>
        </w:tc>
        <w:tc>
          <w:tcPr>
            <w:tcW w:w="2835" w:type="dxa"/>
            <w:noWrap w:val="0"/>
            <w:vAlign w:val="center"/>
          </w:tcPr>
          <w:p>
            <w:pPr>
              <w:pStyle w:val="18"/>
            </w:pPr>
            <w:r>
              <w:t>义务植树成活苗木占植树总株数的比例</w:t>
            </w:r>
          </w:p>
        </w:tc>
        <w:tc>
          <w:tcPr>
            <w:tcW w:w="2551" w:type="dxa"/>
            <w:noWrap w:val="0"/>
            <w:vAlign w:val="center"/>
          </w:tcPr>
          <w:p>
            <w:pPr>
              <w:pStyle w:val="18"/>
            </w:pPr>
            <w:r>
              <w:t>≥90%</w:t>
            </w:r>
          </w:p>
        </w:tc>
        <w:tc>
          <w:tcPr>
            <w:tcW w:w="2268" w:type="dxa"/>
            <w:noWrap w:val="0"/>
            <w:vAlign w:val="center"/>
          </w:tcPr>
          <w:p>
            <w:pPr>
              <w:pStyle w:val="18"/>
            </w:pPr>
            <w:r>
              <w:t>依据《河北省义务植树条例》和2021年实际支出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义务植树和养护完成时间</w:t>
            </w:r>
          </w:p>
        </w:tc>
        <w:tc>
          <w:tcPr>
            <w:tcW w:w="2551" w:type="dxa"/>
            <w:noWrap w:val="0"/>
            <w:vAlign w:val="center"/>
          </w:tcPr>
          <w:p>
            <w:pPr>
              <w:pStyle w:val="18"/>
            </w:pPr>
            <w:r>
              <w:t>12月</w:t>
            </w:r>
          </w:p>
        </w:tc>
        <w:tc>
          <w:tcPr>
            <w:tcW w:w="2268" w:type="dxa"/>
            <w:noWrap w:val="0"/>
            <w:vAlign w:val="center"/>
          </w:tcPr>
          <w:p>
            <w:pPr>
              <w:pStyle w:val="18"/>
            </w:pPr>
            <w:r>
              <w:t>依据《河北省义务植树条例》和2021年实际支出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超预算金额占预算的比例</w:t>
            </w:r>
          </w:p>
        </w:tc>
        <w:tc>
          <w:tcPr>
            <w:tcW w:w="2551" w:type="dxa"/>
            <w:noWrap w:val="0"/>
            <w:vAlign w:val="center"/>
          </w:tcPr>
          <w:p>
            <w:pPr>
              <w:pStyle w:val="18"/>
            </w:pPr>
            <w:r>
              <w:t>≤10%</w:t>
            </w:r>
          </w:p>
        </w:tc>
        <w:tc>
          <w:tcPr>
            <w:tcW w:w="2268" w:type="dxa"/>
            <w:noWrap w:val="0"/>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绿化面积提升率</w:t>
            </w:r>
          </w:p>
        </w:tc>
        <w:tc>
          <w:tcPr>
            <w:tcW w:w="2835" w:type="dxa"/>
            <w:noWrap w:val="0"/>
            <w:vAlign w:val="center"/>
          </w:tcPr>
          <w:p>
            <w:pPr>
              <w:pStyle w:val="18"/>
            </w:pPr>
            <w:r>
              <w:t>通过项目开展提升绿化覆盖面积比率</w:t>
            </w:r>
          </w:p>
        </w:tc>
        <w:tc>
          <w:tcPr>
            <w:tcW w:w="2551" w:type="dxa"/>
            <w:noWrap w:val="0"/>
            <w:vAlign w:val="center"/>
          </w:tcPr>
          <w:p>
            <w:pPr>
              <w:pStyle w:val="18"/>
            </w:pPr>
            <w:r>
              <w:t>≥10%</w:t>
            </w:r>
          </w:p>
        </w:tc>
        <w:tc>
          <w:tcPr>
            <w:tcW w:w="2268" w:type="dxa"/>
            <w:noWrap w:val="0"/>
            <w:vAlign w:val="center"/>
          </w:tcPr>
          <w:p>
            <w:pPr>
              <w:pStyle w:val="18"/>
            </w:pPr>
            <w:r>
              <w:t>文件要求或实际调查情况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苗木的成活时间</w:t>
            </w:r>
          </w:p>
        </w:tc>
        <w:tc>
          <w:tcPr>
            <w:tcW w:w="2835" w:type="dxa"/>
            <w:noWrap w:val="0"/>
            <w:vAlign w:val="center"/>
          </w:tcPr>
          <w:p>
            <w:pPr>
              <w:pStyle w:val="18"/>
            </w:pPr>
            <w:r>
              <w:t>苗木的成活时间</w:t>
            </w:r>
          </w:p>
        </w:tc>
        <w:tc>
          <w:tcPr>
            <w:tcW w:w="2551" w:type="dxa"/>
            <w:noWrap w:val="0"/>
            <w:vAlign w:val="center"/>
          </w:tcPr>
          <w:p>
            <w:pPr>
              <w:pStyle w:val="18"/>
            </w:pPr>
            <w:r>
              <w:t>≥10年</w:t>
            </w:r>
          </w:p>
        </w:tc>
        <w:tc>
          <w:tcPr>
            <w:tcW w:w="2268" w:type="dxa"/>
            <w:noWrap w:val="0"/>
            <w:vAlign w:val="center"/>
          </w:tcPr>
          <w:p>
            <w:pPr>
              <w:pStyle w:val="18"/>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6、森林防火宣传和防火设施建设费绩效目标表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1.通过项目的开展实现能够有效防止我县森林火灾发生，保障人民财产不受侵害。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一批</w:t>
            </w:r>
          </w:p>
        </w:tc>
        <w:tc>
          <w:tcPr>
            <w:tcW w:w="2835" w:type="dxa"/>
            <w:noWrap w:val="0"/>
            <w:vAlign w:val="center"/>
          </w:tcPr>
          <w:p>
            <w:pPr>
              <w:pStyle w:val="18"/>
            </w:pPr>
            <w:r>
              <w:t>宣传资料、宣传品、防火设备</w:t>
            </w:r>
          </w:p>
        </w:tc>
        <w:tc>
          <w:tcPr>
            <w:tcW w:w="2551" w:type="dxa"/>
            <w:noWrap w:val="0"/>
            <w:vAlign w:val="center"/>
          </w:tcPr>
          <w:p>
            <w:pPr>
              <w:pStyle w:val="18"/>
            </w:pPr>
            <w:r>
              <w:t>≥100%</w:t>
            </w:r>
          </w:p>
        </w:tc>
        <w:tc>
          <w:tcPr>
            <w:tcW w:w="2268" w:type="dxa"/>
            <w:noWrap w:val="0"/>
            <w:vAlign w:val="center"/>
          </w:tcPr>
          <w:p>
            <w:pPr>
              <w:pStyle w:val="18"/>
            </w:pPr>
            <w:r>
              <w:t>冀林草字[2021]79号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春季、秋冬季及重大节日宣传率</w:t>
            </w:r>
          </w:p>
        </w:tc>
        <w:tc>
          <w:tcPr>
            <w:tcW w:w="2835" w:type="dxa"/>
            <w:noWrap w:val="0"/>
            <w:vAlign w:val="center"/>
          </w:tcPr>
          <w:p>
            <w:pPr>
              <w:pStyle w:val="18"/>
            </w:pPr>
            <w:r>
              <w:t>春季、秋冬季及重大节日</w:t>
            </w:r>
          </w:p>
        </w:tc>
        <w:tc>
          <w:tcPr>
            <w:tcW w:w="2551" w:type="dxa"/>
            <w:noWrap w:val="0"/>
            <w:vAlign w:val="center"/>
          </w:tcPr>
          <w:p>
            <w:pPr>
              <w:pStyle w:val="18"/>
            </w:pPr>
            <w:r>
              <w:t>100%</w:t>
            </w:r>
          </w:p>
        </w:tc>
        <w:tc>
          <w:tcPr>
            <w:tcW w:w="2268" w:type="dxa"/>
            <w:noWrap w:val="0"/>
            <w:vAlign w:val="center"/>
          </w:tcPr>
          <w:p>
            <w:pPr>
              <w:pStyle w:val="18"/>
            </w:pPr>
            <w:r>
              <w:t>冀林草字[2021]79号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及时宣传率</w:t>
            </w:r>
          </w:p>
        </w:tc>
        <w:tc>
          <w:tcPr>
            <w:tcW w:w="2835" w:type="dxa"/>
            <w:noWrap w:val="0"/>
            <w:vAlign w:val="center"/>
          </w:tcPr>
          <w:p>
            <w:pPr>
              <w:pStyle w:val="18"/>
            </w:pPr>
            <w:r>
              <w:t>是否及时宣传</w:t>
            </w:r>
          </w:p>
        </w:tc>
        <w:tc>
          <w:tcPr>
            <w:tcW w:w="2551" w:type="dxa"/>
            <w:noWrap w:val="0"/>
            <w:vAlign w:val="center"/>
          </w:tcPr>
          <w:p>
            <w:pPr>
              <w:pStyle w:val="18"/>
            </w:pPr>
            <w:r>
              <w:t>100%</w:t>
            </w:r>
          </w:p>
        </w:tc>
        <w:tc>
          <w:tcPr>
            <w:tcW w:w="2268" w:type="dxa"/>
            <w:noWrap w:val="0"/>
            <w:vAlign w:val="center"/>
          </w:tcPr>
          <w:p>
            <w:pPr>
              <w:pStyle w:val="18"/>
            </w:pPr>
            <w:r>
              <w:t>冀林草字[2021]79号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超预算金额占预算的比例</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有效减少和防止森林火灾发生率</w:t>
            </w:r>
          </w:p>
        </w:tc>
        <w:tc>
          <w:tcPr>
            <w:tcW w:w="2835" w:type="dxa"/>
            <w:noWrap w:val="0"/>
            <w:vAlign w:val="center"/>
          </w:tcPr>
          <w:p>
            <w:pPr>
              <w:pStyle w:val="18"/>
            </w:pPr>
            <w:r>
              <w:t>有效减少和防止森林火灾</w:t>
            </w:r>
          </w:p>
        </w:tc>
        <w:tc>
          <w:tcPr>
            <w:tcW w:w="2551" w:type="dxa"/>
            <w:noWrap w:val="0"/>
            <w:vAlign w:val="center"/>
          </w:tcPr>
          <w:p>
            <w:pPr>
              <w:pStyle w:val="18"/>
            </w:pPr>
            <w:r>
              <w:t>≥95%</w:t>
            </w:r>
          </w:p>
        </w:tc>
        <w:tc>
          <w:tcPr>
            <w:tcW w:w="2268" w:type="dxa"/>
            <w:noWrap w:val="0"/>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经济效益指标</w:t>
            </w:r>
          </w:p>
        </w:tc>
        <w:tc>
          <w:tcPr>
            <w:tcW w:w="2835" w:type="dxa"/>
            <w:noWrap w:val="0"/>
            <w:vAlign w:val="center"/>
          </w:tcPr>
          <w:p>
            <w:pPr>
              <w:pStyle w:val="18"/>
            </w:pPr>
            <w:r>
              <w:t>避免人民财产不受侵害</w:t>
            </w:r>
          </w:p>
        </w:tc>
        <w:tc>
          <w:tcPr>
            <w:tcW w:w="2835" w:type="dxa"/>
            <w:noWrap w:val="0"/>
            <w:vAlign w:val="center"/>
          </w:tcPr>
          <w:p>
            <w:pPr>
              <w:pStyle w:val="18"/>
            </w:pPr>
            <w:r>
              <w:t>避免人民财产不受侵害</w:t>
            </w:r>
          </w:p>
        </w:tc>
        <w:tc>
          <w:tcPr>
            <w:tcW w:w="2551" w:type="dxa"/>
            <w:noWrap w:val="0"/>
            <w:vAlign w:val="center"/>
          </w:tcPr>
          <w:p>
            <w:pPr>
              <w:pStyle w:val="18"/>
            </w:pPr>
            <w:r>
              <w:t>≥95%</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购买设备使用时间</w:t>
            </w:r>
          </w:p>
        </w:tc>
        <w:tc>
          <w:tcPr>
            <w:tcW w:w="2835" w:type="dxa"/>
            <w:noWrap w:val="0"/>
            <w:vAlign w:val="center"/>
          </w:tcPr>
          <w:p>
            <w:pPr>
              <w:pStyle w:val="18"/>
            </w:pPr>
            <w:r>
              <w:t>购买设备使用时间</w:t>
            </w:r>
          </w:p>
        </w:tc>
        <w:tc>
          <w:tcPr>
            <w:tcW w:w="2551" w:type="dxa"/>
            <w:noWrap w:val="0"/>
            <w:vAlign w:val="center"/>
          </w:tcPr>
          <w:p>
            <w:pPr>
              <w:pStyle w:val="18"/>
            </w:pPr>
            <w:r>
              <w:t>1年</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服务对象满意度</w:t>
            </w:r>
          </w:p>
        </w:tc>
        <w:tc>
          <w:tcPr>
            <w:tcW w:w="2551" w:type="dxa"/>
            <w:noWrap w:val="0"/>
            <w:vAlign w:val="center"/>
          </w:tcPr>
          <w:p>
            <w:pPr>
              <w:pStyle w:val="18"/>
            </w:pPr>
            <w:r>
              <w:t>100%</w:t>
            </w:r>
          </w:p>
        </w:tc>
        <w:tc>
          <w:tcPr>
            <w:tcW w:w="2268" w:type="dxa"/>
            <w:noWrap w:val="0"/>
            <w:vAlign w:val="center"/>
          </w:tcPr>
          <w:p>
            <w:pPr>
              <w:pStyle w:val="18"/>
            </w:pPr>
            <w:r>
              <w:t>相关表扬或通报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7、土地卫片经费绩效目标表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1.通过该项目的开展，确保我县卫片执法工作顺利推进，完成上级部门安排的各项工作任务。</w:t>
            </w:r>
          </w:p>
          <w:p>
            <w:pPr>
              <w:pStyle w:val="18"/>
            </w:pPr>
            <w:r>
              <w:t>2.通过该项目的开展，有效地提升我县卫片执法工作水平，提升我县卫片执法工作效率。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经费保障机构数量</w:t>
            </w:r>
          </w:p>
        </w:tc>
        <w:tc>
          <w:tcPr>
            <w:tcW w:w="2835" w:type="dxa"/>
            <w:noWrap w:val="0"/>
            <w:vAlign w:val="center"/>
          </w:tcPr>
          <w:p>
            <w:pPr>
              <w:pStyle w:val="18"/>
            </w:pPr>
            <w:r>
              <w:t>经费保障卫片执法相关机构正常运转个数</w:t>
            </w:r>
          </w:p>
        </w:tc>
        <w:tc>
          <w:tcPr>
            <w:tcW w:w="2551" w:type="dxa"/>
            <w:noWrap w:val="0"/>
            <w:vAlign w:val="center"/>
          </w:tcPr>
          <w:p>
            <w:pPr>
              <w:pStyle w:val="18"/>
            </w:pPr>
            <w:r>
              <w:t>6个</w:t>
            </w:r>
          </w:p>
        </w:tc>
        <w:tc>
          <w:tcPr>
            <w:tcW w:w="2268" w:type="dxa"/>
            <w:noWrap w:val="0"/>
            <w:vAlign w:val="center"/>
          </w:tcPr>
          <w:p>
            <w:pPr>
              <w:pStyle w:val="18"/>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工作完成率</w:t>
            </w:r>
          </w:p>
        </w:tc>
        <w:tc>
          <w:tcPr>
            <w:tcW w:w="2835" w:type="dxa"/>
            <w:noWrap w:val="0"/>
            <w:vAlign w:val="center"/>
          </w:tcPr>
          <w:p>
            <w:pPr>
              <w:pStyle w:val="18"/>
            </w:pPr>
            <w:r>
              <w:t>完成上级主管部门安排的各项工作任务占总任务的比例</w:t>
            </w:r>
          </w:p>
        </w:tc>
        <w:tc>
          <w:tcPr>
            <w:tcW w:w="2551" w:type="dxa"/>
            <w:noWrap w:val="0"/>
            <w:vAlign w:val="center"/>
          </w:tcPr>
          <w:p>
            <w:pPr>
              <w:pStyle w:val="18"/>
            </w:pPr>
            <w:r>
              <w:t>100%</w:t>
            </w:r>
          </w:p>
        </w:tc>
        <w:tc>
          <w:tcPr>
            <w:tcW w:w="2268" w:type="dxa"/>
            <w:noWrap w:val="0"/>
            <w:vAlign w:val="center"/>
          </w:tcPr>
          <w:p>
            <w:pPr>
              <w:pStyle w:val="18"/>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工作完成及时率</w:t>
            </w:r>
          </w:p>
        </w:tc>
        <w:tc>
          <w:tcPr>
            <w:tcW w:w="2835" w:type="dxa"/>
            <w:noWrap w:val="0"/>
            <w:vAlign w:val="center"/>
          </w:tcPr>
          <w:p>
            <w:pPr>
              <w:pStyle w:val="18"/>
            </w:pPr>
            <w:r>
              <w:t>工作完成时间情况</w:t>
            </w:r>
          </w:p>
        </w:tc>
        <w:tc>
          <w:tcPr>
            <w:tcW w:w="2551" w:type="dxa"/>
            <w:noWrap w:val="0"/>
            <w:vAlign w:val="center"/>
          </w:tcPr>
          <w:p>
            <w:pPr>
              <w:pStyle w:val="18"/>
            </w:pPr>
            <w:r>
              <w:t>100%</w:t>
            </w:r>
          </w:p>
        </w:tc>
        <w:tc>
          <w:tcPr>
            <w:tcW w:w="2268" w:type="dxa"/>
            <w:noWrap w:val="0"/>
            <w:vAlign w:val="center"/>
          </w:tcPr>
          <w:p>
            <w:pPr>
              <w:pStyle w:val="18"/>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人均执法成本</w:t>
            </w:r>
          </w:p>
        </w:tc>
        <w:tc>
          <w:tcPr>
            <w:tcW w:w="2835" w:type="dxa"/>
            <w:noWrap w:val="0"/>
            <w:vAlign w:val="center"/>
          </w:tcPr>
          <w:p>
            <w:pPr>
              <w:pStyle w:val="18"/>
            </w:pPr>
            <w:r>
              <w:t>年度内人均执法成本情况</w:t>
            </w:r>
          </w:p>
        </w:tc>
        <w:tc>
          <w:tcPr>
            <w:tcW w:w="2551" w:type="dxa"/>
            <w:noWrap w:val="0"/>
            <w:vAlign w:val="center"/>
          </w:tcPr>
          <w:p>
            <w:pPr>
              <w:pStyle w:val="18"/>
            </w:pPr>
            <w:r>
              <w:t>≤0.45万元/人/次</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机构正常运转个数</w:t>
            </w:r>
          </w:p>
        </w:tc>
        <w:tc>
          <w:tcPr>
            <w:tcW w:w="2835" w:type="dxa"/>
            <w:noWrap w:val="0"/>
            <w:vAlign w:val="center"/>
          </w:tcPr>
          <w:p>
            <w:pPr>
              <w:pStyle w:val="18"/>
            </w:pPr>
            <w:r>
              <w:t>机构各项工作正常运转情况</w:t>
            </w:r>
          </w:p>
        </w:tc>
        <w:tc>
          <w:tcPr>
            <w:tcW w:w="2551" w:type="dxa"/>
            <w:noWrap w:val="0"/>
            <w:vAlign w:val="center"/>
          </w:tcPr>
          <w:p>
            <w:pPr>
              <w:pStyle w:val="18"/>
            </w:pPr>
            <w:r>
              <w:t>6个</w:t>
            </w:r>
          </w:p>
        </w:tc>
        <w:tc>
          <w:tcPr>
            <w:tcW w:w="2268" w:type="dxa"/>
            <w:noWrap w:val="0"/>
            <w:vAlign w:val="center"/>
          </w:tcPr>
          <w:p>
            <w:pPr>
              <w:pStyle w:val="18"/>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机构正常运转年数</w:t>
            </w:r>
          </w:p>
        </w:tc>
        <w:tc>
          <w:tcPr>
            <w:tcW w:w="2835" w:type="dxa"/>
            <w:noWrap w:val="0"/>
            <w:vAlign w:val="center"/>
          </w:tcPr>
          <w:p>
            <w:pPr>
              <w:pStyle w:val="18"/>
            </w:pPr>
            <w:r>
              <w:t>机构正常运转年数</w:t>
            </w:r>
          </w:p>
        </w:tc>
        <w:tc>
          <w:tcPr>
            <w:tcW w:w="2551" w:type="dxa"/>
            <w:noWrap w:val="0"/>
            <w:vAlign w:val="center"/>
          </w:tcPr>
          <w:p>
            <w:pPr>
              <w:pStyle w:val="18"/>
            </w:pPr>
            <w:r>
              <w:t>1年</w:t>
            </w:r>
          </w:p>
        </w:tc>
        <w:tc>
          <w:tcPr>
            <w:tcW w:w="2268" w:type="dxa"/>
            <w:noWrap w:val="0"/>
            <w:vAlign w:val="center"/>
          </w:tcPr>
          <w:p>
            <w:pPr>
              <w:pStyle w:val="18"/>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工作人员满意度</w:t>
            </w:r>
          </w:p>
        </w:tc>
        <w:tc>
          <w:tcPr>
            <w:tcW w:w="2835" w:type="dxa"/>
            <w:noWrap w:val="0"/>
            <w:vAlign w:val="center"/>
          </w:tcPr>
          <w:p>
            <w:pPr>
              <w:pStyle w:val="18"/>
            </w:pPr>
            <w:r>
              <w:t>相关工作人员满意度情况</w:t>
            </w:r>
          </w:p>
        </w:tc>
        <w:tc>
          <w:tcPr>
            <w:tcW w:w="2551" w:type="dxa"/>
            <w:noWrap w:val="0"/>
            <w:vAlign w:val="center"/>
          </w:tcPr>
          <w:p>
            <w:pPr>
              <w:pStyle w:val="18"/>
            </w:pPr>
            <w:r>
              <w:t>≥95%</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8、野生动物保护及疫源疫病监控经费绩效目标表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1.通过项目的开展，指导全县陆生野生动物疫源疫病监测，按分工监督管理野生动物进出口。</w:t>
            </w:r>
          </w:p>
          <w:p>
            <w:pPr>
              <w:pStyle w:val="18"/>
            </w:pPr>
            <w:r>
              <w:t>2.通过项目的开展，加强野生动物保护和陆生野生动物疫源疫病监测防控，保障生态安全。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宣传条幅的数量</w:t>
            </w:r>
          </w:p>
        </w:tc>
        <w:tc>
          <w:tcPr>
            <w:tcW w:w="2835" w:type="dxa"/>
            <w:noWrap w:val="0"/>
            <w:vAlign w:val="center"/>
          </w:tcPr>
          <w:p>
            <w:pPr>
              <w:pStyle w:val="18"/>
            </w:pPr>
            <w:r>
              <w:t>宣传条幅的数量</w:t>
            </w:r>
          </w:p>
        </w:tc>
        <w:tc>
          <w:tcPr>
            <w:tcW w:w="2551" w:type="dxa"/>
            <w:noWrap w:val="0"/>
            <w:vAlign w:val="center"/>
          </w:tcPr>
          <w:p>
            <w:pPr>
              <w:pStyle w:val="18"/>
            </w:pPr>
            <w:r>
              <w:t>≥20个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标志牌的数量</w:t>
            </w:r>
          </w:p>
        </w:tc>
        <w:tc>
          <w:tcPr>
            <w:tcW w:w="2835" w:type="dxa"/>
            <w:noWrap w:val="0"/>
            <w:vAlign w:val="center"/>
          </w:tcPr>
          <w:p>
            <w:pPr>
              <w:pStyle w:val="18"/>
            </w:pPr>
            <w:r>
              <w:t>制作标志牌的数量</w:t>
            </w:r>
          </w:p>
        </w:tc>
        <w:tc>
          <w:tcPr>
            <w:tcW w:w="2551" w:type="dxa"/>
            <w:noWrap w:val="0"/>
            <w:vAlign w:val="center"/>
          </w:tcPr>
          <w:p>
            <w:pPr>
              <w:pStyle w:val="18"/>
            </w:pPr>
            <w:r>
              <w:t>≥10个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宣传手册制作数量</w:t>
            </w:r>
          </w:p>
        </w:tc>
        <w:tc>
          <w:tcPr>
            <w:tcW w:w="2835" w:type="dxa"/>
            <w:noWrap w:val="0"/>
            <w:vAlign w:val="center"/>
          </w:tcPr>
          <w:p>
            <w:pPr>
              <w:pStyle w:val="18"/>
            </w:pPr>
            <w:r>
              <w:t>宣传手册制作的数量</w:t>
            </w:r>
          </w:p>
        </w:tc>
        <w:tc>
          <w:tcPr>
            <w:tcW w:w="2551" w:type="dxa"/>
            <w:noWrap w:val="0"/>
            <w:vAlign w:val="center"/>
          </w:tcPr>
          <w:p>
            <w:pPr>
              <w:pStyle w:val="18"/>
            </w:pPr>
            <w:r>
              <w:t>≥1000个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质量合格的数量与总数量的比例</w:t>
            </w:r>
          </w:p>
        </w:tc>
        <w:tc>
          <w:tcPr>
            <w:tcW w:w="2551" w:type="dxa"/>
            <w:noWrap w:val="0"/>
            <w:vAlign w:val="center"/>
          </w:tcPr>
          <w:p>
            <w:pPr>
              <w:pStyle w:val="18"/>
            </w:pPr>
            <w:r>
              <w:t>≥95%</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完成及时率</w:t>
            </w:r>
          </w:p>
        </w:tc>
        <w:tc>
          <w:tcPr>
            <w:tcW w:w="2835" w:type="dxa"/>
            <w:noWrap w:val="0"/>
            <w:vAlign w:val="center"/>
          </w:tcPr>
          <w:p>
            <w:pPr>
              <w:pStyle w:val="18"/>
            </w:pPr>
            <w:r>
              <w:t>在规定的时间节点内完成</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宣传条幅的单位成本</w:t>
            </w:r>
          </w:p>
        </w:tc>
        <w:tc>
          <w:tcPr>
            <w:tcW w:w="2835" w:type="dxa"/>
            <w:noWrap w:val="0"/>
            <w:vAlign w:val="center"/>
          </w:tcPr>
          <w:p>
            <w:pPr>
              <w:pStyle w:val="18"/>
            </w:pPr>
            <w:r>
              <w:t>宣传条幅的单位成本</w:t>
            </w:r>
          </w:p>
        </w:tc>
        <w:tc>
          <w:tcPr>
            <w:tcW w:w="2551" w:type="dxa"/>
            <w:noWrap w:val="0"/>
            <w:vAlign w:val="center"/>
          </w:tcPr>
          <w:p>
            <w:pPr>
              <w:pStyle w:val="18"/>
            </w:pPr>
            <w:r>
              <w:t>≤100元/个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标志牌的单位成本</w:t>
            </w:r>
          </w:p>
        </w:tc>
        <w:tc>
          <w:tcPr>
            <w:tcW w:w="2835" w:type="dxa"/>
            <w:noWrap w:val="0"/>
            <w:vAlign w:val="center"/>
          </w:tcPr>
          <w:p>
            <w:pPr>
              <w:pStyle w:val="18"/>
            </w:pPr>
            <w:r>
              <w:t>标志牌的单位成本</w:t>
            </w:r>
          </w:p>
        </w:tc>
        <w:tc>
          <w:tcPr>
            <w:tcW w:w="2551" w:type="dxa"/>
            <w:noWrap w:val="0"/>
            <w:vAlign w:val="center"/>
          </w:tcPr>
          <w:p>
            <w:pPr>
              <w:pStyle w:val="18"/>
            </w:pPr>
            <w:r>
              <w:t>≤800元/个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宣传手册的单位成本</w:t>
            </w:r>
          </w:p>
        </w:tc>
        <w:tc>
          <w:tcPr>
            <w:tcW w:w="2835" w:type="dxa"/>
            <w:noWrap w:val="0"/>
            <w:vAlign w:val="center"/>
          </w:tcPr>
          <w:p>
            <w:pPr>
              <w:pStyle w:val="18"/>
            </w:pPr>
            <w:r>
              <w:t>宣传手册的单位成本</w:t>
            </w:r>
          </w:p>
        </w:tc>
        <w:tc>
          <w:tcPr>
            <w:tcW w:w="2551" w:type="dxa"/>
            <w:noWrap w:val="0"/>
            <w:vAlign w:val="center"/>
          </w:tcPr>
          <w:p>
            <w:pPr>
              <w:pStyle w:val="18"/>
            </w:pPr>
            <w:r>
              <w:t>≤10元/个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野生动物救助覆盖率</w:t>
            </w:r>
          </w:p>
        </w:tc>
        <w:tc>
          <w:tcPr>
            <w:tcW w:w="2835" w:type="dxa"/>
            <w:noWrap w:val="0"/>
            <w:vAlign w:val="center"/>
          </w:tcPr>
          <w:p>
            <w:pPr>
              <w:pStyle w:val="18"/>
            </w:pPr>
            <w:r>
              <w:t>实际救助的野生动物与需救助的动物的比例</w:t>
            </w:r>
          </w:p>
        </w:tc>
        <w:tc>
          <w:tcPr>
            <w:tcW w:w="2551" w:type="dxa"/>
            <w:noWrap w:val="0"/>
            <w:vAlign w:val="center"/>
          </w:tcPr>
          <w:p>
            <w:pPr>
              <w:pStyle w:val="18"/>
            </w:pPr>
            <w:r>
              <w:t>90%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宣传影响年限</w:t>
            </w:r>
          </w:p>
        </w:tc>
        <w:tc>
          <w:tcPr>
            <w:tcW w:w="2835" w:type="dxa"/>
            <w:noWrap w:val="0"/>
            <w:vAlign w:val="center"/>
          </w:tcPr>
          <w:p>
            <w:pPr>
              <w:pStyle w:val="18"/>
            </w:pPr>
            <w:r>
              <w:t>对于宣传野生动物保护及疫源疫病监控的影响年限</w:t>
            </w:r>
          </w:p>
        </w:tc>
        <w:tc>
          <w:tcPr>
            <w:tcW w:w="2551" w:type="dxa"/>
            <w:noWrap w:val="0"/>
            <w:vAlign w:val="center"/>
          </w:tcPr>
          <w:p>
            <w:pPr>
              <w:pStyle w:val="18"/>
            </w:pPr>
            <w:r>
              <w:t>1年</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受益对象满意度</w:t>
            </w:r>
          </w:p>
        </w:tc>
        <w:tc>
          <w:tcPr>
            <w:tcW w:w="2835" w:type="dxa"/>
            <w:noWrap w:val="0"/>
            <w:vAlign w:val="center"/>
          </w:tcPr>
          <w:p>
            <w:pPr>
              <w:pStyle w:val="18"/>
            </w:pPr>
            <w:r>
              <w:t>调查中满意和较满意的人数占调研总人数的比率</w:t>
            </w:r>
          </w:p>
        </w:tc>
        <w:tc>
          <w:tcPr>
            <w:tcW w:w="2551" w:type="dxa"/>
            <w:noWrap w:val="0"/>
            <w:vAlign w:val="center"/>
          </w:tcPr>
          <w:p>
            <w:pPr>
              <w:pStyle w:val="18"/>
            </w:pPr>
            <w:r>
              <w:t>≥95%</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9、野生动物保护经费绩效目标表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1.通过项目的开展，指导全县陆生野生动物的救护繁育、栖息地恢复发展，监督管理全县陆生野生动物猎捕或采集、驯养繁殖，经营利用，按分工监督管理野生动物进出口。</w:t>
            </w:r>
          </w:p>
          <w:p>
            <w:pPr>
              <w:pStyle w:val="18"/>
            </w:pPr>
            <w:r>
              <w:t>2.通过项目的开展，加强宣传保护野生动物保护保障生态安全。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宣传条幅数量</w:t>
            </w:r>
          </w:p>
        </w:tc>
        <w:tc>
          <w:tcPr>
            <w:tcW w:w="2835" w:type="dxa"/>
            <w:noWrap w:val="0"/>
            <w:vAlign w:val="center"/>
          </w:tcPr>
          <w:p>
            <w:pPr>
              <w:pStyle w:val="18"/>
            </w:pPr>
            <w:r>
              <w:t>宣传条幅的数量</w:t>
            </w:r>
          </w:p>
        </w:tc>
        <w:tc>
          <w:tcPr>
            <w:tcW w:w="2551" w:type="dxa"/>
            <w:noWrap w:val="0"/>
            <w:vAlign w:val="center"/>
          </w:tcPr>
          <w:p>
            <w:pPr>
              <w:pStyle w:val="18"/>
            </w:pPr>
            <w:r>
              <w:t>≥10个</w:t>
            </w:r>
          </w:p>
        </w:tc>
        <w:tc>
          <w:tcPr>
            <w:tcW w:w="2268" w:type="dxa"/>
            <w:noWrap w:val="0"/>
            <w:vAlign w:val="center"/>
          </w:tcPr>
          <w:p>
            <w:pPr>
              <w:pStyle w:val="18"/>
            </w:pPr>
            <w:r>
              <w:t>《廊坊市人民政府办公室转发省政府办公厅关于进一步加强鸟类等野生动物保护管理工作的通知》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标志牌数量</w:t>
            </w:r>
          </w:p>
        </w:tc>
        <w:tc>
          <w:tcPr>
            <w:tcW w:w="2835" w:type="dxa"/>
            <w:noWrap w:val="0"/>
            <w:vAlign w:val="center"/>
          </w:tcPr>
          <w:p>
            <w:pPr>
              <w:pStyle w:val="18"/>
            </w:pPr>
            <w:r>
              <w:t>制作标志牌的数量</w:t>
            </w:r>
          </w:p>
        </w:tc>
        <w:tc>
          <w:tcPr>
            <w:tcW w:w="2551" w:type="dxa"/>
            <w:noWrap w:val="0"/>
            <w:vAlign w:val="center"/>
          </w:tcPr>
          <w:p>
            <w:pPr>
              <w:pStyle w:val="18"/>
            </w:pPr>
            <w:r>
              <w:t>≥5个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宣传手册制作数量</w:t>
            </w:r>
          </w:p>
        </w:tc>
        <w:tc>
          <w:tcPr>
            <w:tcW w:w="2835" w:type="dxa"/>
            <w:noWrap w:val="0"/>
            <w:vAlign w:val="center"/>
          </w:tcPr>
          <w:p>
            <w:pPr>
              <w:pStyle w:val="18"/>
            </w:pPr>
            <w:r>
              <w:t>宣传手册制作的数量</w:t>
            </w:r>
          </w:p>
        </w:tc>
        <w:tc>
          <w:tcPr>
            <w:tcW w:w="2551" w:type="dxa"/>
            <w:noWrap w:val="0"/>
            <w:vAlign w:val="center"/>
          </w:tcPr>
          <w:p>
            <w:pPr>
              <w:pStyle w:val="18"/>
            </w:pPr>
            <w:r>
              <w:t>≥500个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质量合格的数量与总数量的比例</w:t>
            </w:r>
          </w:p>
        </w:tc>
        <w:tc>
          <w:tcPr>
            <w:tcW w:w="2551" w:type="dxa"/>
            <w:noWrap w:val="0"/>
            <w:vAlign w:val="center"/>
          </w:tcPr>
          <w:p>
            <w:pPr>
              <w:pStyle w:val="18"/>
            </w:pPr>
            <w:r>
              <w:t>≥95%</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完成及时率</w:t>
            </w:r>
          </w:p>
        </w:tc>
        <w:tc>
          <w:tcPr>
            <w:tcW w:w="2835" w:type="dxa"/>
            <w:noWrap w:val="0"/>
            <w:vAlign w:val="center"/>
          </w:tcPr>
          <w:p>
            <w:pPr>
              <w:pStyle w:val="18"/>
            </w:pPr>
            <w:r>
              <w:t>在规定的时间节点内完成</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宣传条幅的单位成本</w:t>
            </w:r>
          </w:p>
        </w:tc>
        <w:tc>
          <w:tcPr>
            <w:tcW w:w="2835" w:type="dxa"/>
            <w:noWrap w:val="0"/>
            <w:vAlign w:val="center"/>
          </w:tcPr>
          <w:p>
            <w:pPr>
              <w:pStyle w:val="18"/>
            </w:pPr>
            <w:r>
              <w:t>宣传条幅的单位成本</w:t>
            </w:r>
          </w:p>
        </w:tc>
        <w:tc>
          <w:tcPr>
            <w:tcW w:w="2551" w:type="dxa"/>
            <w:noWrap w:val="0"/>
            <w:vAlign w:val="center"/>
          </w:tcPr>
          <w:p>
            <w:pPr>
              <w:pStyle w:val="18"/>
            </w:pPr>
            <w:r>
              <w:t>≤100元/个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标志牌的单位成本</w:t>
            </w:r>
          </w:p>
        </w:tc>
        <w:tc>
          <w:tcPr>
            <w:tcW w:w="2835" w:type="dxa"/>
            <w:noWrap w:val="0"/>
            <w:vAlign w:val="center"/>
          </w:tcPr>
          <w:p>
            <w:pPr>
              <w:pStyle w:val="18"/>
            </w:pPr>
            <w:r>
              <w:t>标志牌的单位成本</w:t>
            </w:r>
          </w:p>
        </w:tc>
        <w:tc>
          <w:tcPr>
            <w:tcW w:w="2551" w:type="dxa"/>
            <w:noWrap w:val="0"/>
            <w:vAlign w:val="center"/>
          </w:tcPr>
          <w:p>
            <w:pPr>
              <w:pStyle w:val="18"/>
            </w:pPr>
            <w:r>
              <w:t>≤800元/个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宣传手册的单位成本</w:t>
            </w:r>
          </w:p>
        </w:tc>
        <w:tc>
          <w:tcPr>
            <w:tcW w:w="2835" w:type="dxa"/>
            <w:noWrap w:val="0"/>
            <w:vAlign w:val="center"/>
          </w:tcPr>
          <w:p>
            <w:pPr>
              <w:pStyle w:val="18"/>
            </w:pPr>
            <w:r>
              <w:t>宣传手册的单位成本</w:t>
            </w:r>
          </w:p>
        </w:tc>
        <w:tc>
          <w:tcPr>
            <w:tcW w:w="2551" w:type="dxa"/>
            <w:noWrap w:val="0"/>
            <w:vAlign w:val="center"/>
          </w:tcPr>
          <w:p>
            <w:pPr>
              <w:pStyle w:val="18"/>
            </w:pPr>
            <w:r>
              <w:t>≤10元/个</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野生动物救助覆盖率</w:t>
            </w:r>
          </w:p>
        </w:tc>
        <w:tc>
          <w:tcPr>
            <w:tcW w:w="2835" w:type="dxa"/>
            <w:noWrap w:val="0"/>
            <w:vAlign w:val="center"/>
          </w:tcPr>
          <w:p>
            <w:pPr>
              <w:pStyle w:val="18"/>
            </w:pPr>
            <w:r>
              <w:t>实际救助的野生动物与需救助的动物的比例</w:t>
            </w:r>
          </w:p>
        </w:tc>
        <w:tc>
          <w:tcPr>
            <w:tcW w:w="2551" w:type="dxa"/>
            <w:noWrap w:val="0"/>
            <w:vAlign w:val="center"/>
          </w:tcPr>
          <w:p>
            <w:pPr>
              <w:pStyle w:val="18"/>
            </w:pPr>
            <w:r>
              <w:t>≥90%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宣传影响年限</w:t>
            </w:r>
          </w:p>
        </w:tc>
        <w:tc>
          <w:tcPr>
            <w:tcW w:w="2835" w:type="dxa"/>
            <w:noWrap w:val="0"/>
            <w:vAlign w:val="center"/>
          </w:tcPr>
          <w:p>
            <w:pPr>
              <w:pStyle w:val="18"/>
            </w:pPr>
            <w:r>
              <w:t>对于宣传保护野生动物的影响年限</w:t>
            </w:r>
          </w:p>
        </w:tc>
        <w:tc>
          <w:tcPr>
            <w:tcW w:w="2551" w:type="dxa"/>
            <w:noWrap w:val="0"/>
            <w:vAlign w:val="center"/>
          </w:tcPr>
          <w:p>
            <w:pPr>
              <w:pStyle w:val="18"/>
            </w:pPr>
            <w:r>
              <w:t>1年</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受益对象满意度</w:t>
            </w:r>
          </w:p>
        </w:tc>
        <w:tc>
          <w:tcPr>
            <w:tcW w:w="2835" w:type="dxa"/>
            <w:noWrap w:val="0"/>
            <w:vAlign w:val="center"/>
          </w:tcPr>
          <w:p>
            <w:pPr>
              <w:pStyle w:val="18"/>
            </w:pPr>
            <w:r>
              <w:t>调查中满意和较满意的人数占调研总人数的比率</w:t>
            </w:r>
          </w:p>
        </w:tc>
        <w:tc>
          <w:tcPr>
            <w:tcW w:w="2551" w:type="dxa"/>
            <w:noWrap w:val="0"/>
            <w:vAlign w:val="center"/>
          </w:tcPr>
          <w:p>
            <w:pPr>
              <w:pStyle w:val="18"/>
            </w:pPr>
            <w:r>
              <w:t>≥95%</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10、执法经费绩效目标表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1.通过项目的开展，确保我局土地、林业、野生动物保护等相关工作开展。</w:t>
            </w:r>
          </w:p>
          <w:p>
            <w:pPr>
              <w:pStyle w:val="18"/>
            </w:pPr>
            <w:r>
              <w:t>2.通过该项目的实施，提升我局相关工作水平，提高工作效率。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确保专项业务开展个数</w:t>
            </w:r>
          </w:p>
        </w:tc>
        <w:tc>
          <w:tcPr>
            <w:tcW w:w="2835" w:type="dxa"/>
            <w:noWrap w:val="0"/>
            <w:vAlign w:val="center"/>
          </w:tcPr>
          <w:p>
            <w:pPr>
              <w:pStyle w:val="18"/>
            </w:pPr>
            <w:r>
              <w:t>确保专项业务开展个数</w:t>
            </w:r>
          </w:p>
        </w:tc>
        <w:tc>
          <w:tcPr>
            <w:tcW w:w="2551" w:type="dxa"/>
            <w:noWrap w:val="0"/>
            <w:vAlign w:val="center"/>
          </w:tcPr>
          <w:p>
            <w:pPr>
              <w:pStyle w:val="18"/>
            </w:pPr>
            <w:r>
              <w:t>4项</w:t>
            </w:r>
          </w:p>
        </w:tc>
        <w:tc>
          <w:tcPr>
            <w:tcW w:w="2268" w:type="dxa"/>
            <w:noWrap w:val="0"/>
            <w:vAlign w:val="center"/>
          </w:tcPr>
          <w:p>
            <w:pPr>
              <w:pStyle w:val="18"/>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任务完成质量达标率</w:t>
            </w:r>
          </w:p>
        </w:tc>
        <w:tc>
          <w:tcPr>
            <w:tcW w:w="2835" w:type="dxa"/>
            <w:noWrap w:val="0"/>
            <w:vAlign w:val="center"/>
          </w:tcPr>
          <w:p>
            <w:pPr>
              <w:pStyle w:val="18"/>
            </w:pPr>
            <w:r>
              <w:t>任务质量达标数占总任务数比例</w:t>
            </w:r>
          </w:p>
        </w:tc>
        <w:tc>
          <w:tcPr>
            <w:tcW w:w="2551" w:type="dxa"/>
            <w:noWrap w:val="0"/>
            <w:vAlign w:val="center"/>
          </w:tcPr>
          <w:p>
            <w:pPr>
              <w:pStyle w:val="18"/>
            </w:pPr>
            <w:r>
              <w:t>100百分比</w:t>
            </w:r>
          </w:p>
        </w:tc>
        <w:tc>
          <w:tcPr>
            <w:tcW w:w="2268" w:type="dxa"/>
            <w:noWrap w:val="0"/>
            <w:vAlign w:val="center"/>
          </w:tcPr>
          <w:p>
            <w:pPr>
              <w:pStyle w:val="18"/>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任务按期完成率</w:t>
            </w:r>
          </w:p>
        </w:tc>
        <w:tc>
          <w:tcPr>
            <w:tcW w:w="2835" w:type="dxa"/>
            <w:noWrap w:val="0"/>
            <w:vAlign w:val="center"/>
          </w:tcPr>
          <w:p>
            <w:pPr>
              <w:pStyle w:val="18"/>
            </w:pPr>
            <w:r>
              <w:t>按期完成的任务占总任务的比例</w:t>
            </w:r>
          </w:p>
        </w:tc>
        <w:tc>
          <w:tcPr>
            <w:tcW w:w="2551" w:type="dxa"/>
            <w:noWrap w:val="0"/>
            <w:vAlign w:val="center"/>
          </w:tcPr>
          <w:p>
            <w:pPr>
              <w:pStyle w:val="18"/>
            </w:pPr>
            <w:r>
              <w:t>100百分比</w:t>
            </w:r>
          </w:p>
        </w:tc>
        <w:tc>
          <w:tcPr>
            <w:tcW w:w="2268" w:type="dxa"/>
            <w:noWrap w:val="0"/>
            <w:vAlign w:val="center"/>
          </w:tcPr>
          <w:p>
            <w:pPr>
              <w:pStyle w:val="18"/>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超预算比例</w:t>
            </w:r>
          </w:p>
        </w:tc>
        <w:tc>
          <w:tcPr>
            <w:tcW w:w="2551" w:type="dxa"/>
            <w:noWrap w:val="0"/>
            <w:vAlign w:val="center"/>
          </w:tcPr>
          <w:p>
            <w:pPr>
              <w:pStyle w:val="18"/>
            </w:pPr>
            <w:r>
              <w:t>0.01%</w:t>
            </w:r>
          </w:p>
        </w:tc>
        <w:tc>
          <w:tcPr>
            <w:tcW w:w="2268" w:type="dxa"/>
            <w:noWrap w:val="0"/>
            <w:vAlign w:val="center"/>
          </w:tcPr>
          <w:p>
            <w:pPr>
              <w:pStyle w:val="18"/>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提高工作效率</w:t>
            </w:r>
          </w:p>
        </w:tc>
        <w:tc>
          <w:tcPr>
            <w:tcW w:w="2835" w:type="dxa"/>
            <w:noWrap w:val="0"/>
            <w:vAlign w:val="center"/>
          </w:tcPr>
          <w:p>
            <w:pPr>
              <w:pStyle w:val="18"/>
            </w:pPr>
            <w:r>
              <w:t>利于土地、林业、野生动物保护等相关工作开展，提高工作效率</w:t>
            </w:r>
          </w:p>
        </w:tc>
        <w:tc>
          <w:tcPr>
            <w:tcW w:w="2551" w:type="dxa"/>
            <w:noWrap w:val="0"/>
            <w:vAlign w:val="center"/>
          </w:tcPr>
          <w:p>
            <w:pPr>
              <w:pStyle w:val="18"/>
            </w:pPr>
            <w:r>
              <w:t>≥80%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推广影响时间</w:t>
            </w:r>
          </w:p>
        </w:tc>
        <w:tc>
          <w:tcPr>
            <w:tcW w:w="2835" w:type="dxa"/>
            <w:noWrap w:val="0"/>
            <w:vAlign w:val="center"/>
          </w:tcPr>
          <w:p>
            <w:pPr>
              <w:pStyle w:val="18"/>
            </w:pPr>
            <w:r>
              <w:t>推广影响时间</w:t>
            </w:r>
          </w:p>
        </w:tc>
        <w:tc>
          <w:tcPr>
            <w:tcW w:w="2551" w:type="dxa"/>
            <w:noWrap w:val="0"/>
            <w:vAlign w:val="center"/>
          </w:tcPr>
          <w:p>
            <w:pPr>
              <w:pStyle w:val="18"/>
            </w:pPr>
            <w:r>
              <w:t>1年</w:t>
            </w:r>
          </w:p>
        </w:tc>
        <w:tc>
          <w:tcPr>
            <w:tcW w:w="2268" w:type="dxa"/>
            <w:noWrap w:val="0"/>
            <w:vAlign w:val="center"/>
          </w:tcPr>
          <w:p>
            <w:pPr>
              <w:pStyle w:val="18"/>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政府及上级主管部门满意度</w:t>
            </w:r>
          </w:p>
        </w:tc>
        <w:tc>
          <w:tcPr>
            <w:tcW w:w="2835" w:type="dxa"/>
            <w:noWrap w:val="0"/>
            <w:vAlign w:val="center"/>
          </w:tcPr>
          <w:p>
            <w:pPr>
              <w:pStyle w:val="18"/>
            </w:pPr>
            <w:r>
              <w:t>政府及上级主管部门满意度</w:t>
            </w:r>
          </w:p>
        </w:tc>
        <w:tc>
          <w:tcPr>
            <w:tcW w:w="2551" w:type="dxa"/>
            <w:noWrap w:val="0"/>
            <w:vAlign w:val="center"/>
          </w:tcPr>
          <w:p>
            <w:pPr>
              <w:pStyle w:val="18"/>
            </w:pPr>
            <w:r>
              <w:t>≤100百分比</w:t>
            </w:r>
          </w:p>
        </w:tc>
        <w:tc>
          <w:tcPr>
            <w:tcW w:w="2268" w:type="dxa"/>
            <w:noWrap w:val="0"/>
            <w:vAlign w:val="center"/>
          </w:tcPr>
          <w:p>
            <w:pPr>
              <w:pStyle w:val="18"/>
            </w:pPr>
            <w:r>
              <w:t>相关工作总结</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11、资源节约保护服务费绩效目标表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1.通过该项目的实施，确保我县资源节约保护开发各项工作顺利推进，完成上级部门交派的各项工作任务。</w:t>
            </w:r>
          </w:p>
          <w:p>
            <w:pPr>
              <w:pStyle w:val="18"/>
            </w:pPr>
            <w:r>
              <w:t>2.通过该项目的实施，提高我局工作水平，提升工作效率，提高群众满意度。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事物性管理服务数</w:t>
            </w:r>
          </w:p>
        </w:tc>
        <w:tc>
          <w:tcPr>
            <w:tcW w:w="2835" w:type="dxa"/>
            <w:noWrap w:val="0"/>
            <w:vAlign w:val="center"/>
          </w:tcPr>
          <w:p>
            <w:pPr>
              <w:pStyle w:val="18"/>
            </w:pPr>
            <w:r>
              <w:t>完成事物性管理服务数量</w:t>
            </w:r>
          </w:p>
        </w:tc>
        <w:tc>
          <w:tcPr>
            <w:tcW w:w="2551" w:type="dxa"/>
            <w:noWrap w:val="0"/>
            <w:vAlign w:val="center"/>
          </w:tcPr>
          <w:p>
            <w:pPr>
              <w:pStyle w:val="18"/>
            </w:pPr>
            <w:r>
              <w:t>3项</w:t>
            </w:r>
          </w:p>
        </w:tc>
        <w:tc>
          <w:tcPr>
            <w:tcW w:w="2268"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服务质量合格率</w:t>
            </w:r>
          </w:p>
        </w:tc>
        <w:tc>
          <w:tcPr>
            <w:tcW w:w="2835" w:type="dxa"/>
            <w:noWrap w:val="0"/>
            <w:vAlign w:val="center"/>
          </w:tcPr>
          <w:p>
            <w:pPr>
              <w:pStyle w:val="18"/>
            </w:pPr>
            <w:r>
              <w:t>提供的服务质量合格情况</w:t>
            </w:r>
          </w:p>
        </w:tc>
        <w:tc>
          <w:tcPr>
            <w:tcW w:w="2551" w:type="dxa"/>
            <w:noWrap w:val="0"/>
            <w:vAlign w:val="center"/>
          </w:tcPr>
          <w:p>
            <w:pPr>
              <w:pStyle w:val="18"/>
            </w:pPr>
            <w:r>
              <w:t>100%</w:t>
            </w:r>
          </w:p>
        </w:tc>
        <w:tc>
          <w:tcPr>
            <w:tcW w:w="2268"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服务时间</w:t>
            </w:r>
          </w:p>
        </w:tc>
        <w:tc>
          <w:tcPr>
            <w:tcW w:w="2835" w:type="dxa"/>
            <w:noWrap w:val="0"/>
            <w:vAlign w:val="center"/>
          </w:tcPr>
          <w:p>
            <w:pPr>
              <w:pStyle w:val="18"/>
            </w:pPr>
            <w:r>
              <w:t>事物性管理服务时间</w:t>
            </w:r>
          </w:p>
        </w:tc>
        <w:tc>
          <w:tcPr>
            <w:tcW w:w="2551" w:type="dxa"/>
            <w:noWrap w:val="0"/>
            <w:vAlign w:val="center"/>
          </w:tcPr>
          <w:p>
            <w:pPr>
              <w:pStyle w:val="18"/>
            </w:pPr>
            <w:r>
              <w:t>1年</w:t>
            </w:r>
          </w:p>
        </w:tc>
        <w:tc>
          <w:tcPr>
            <w:tcW w:w="2268"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正常运转率</w:t>
            </w:r>
          </w:p>
        </w:tc>
        <w:tc>
          <w:tcPr>
            <w:tcW w:w="2835" w:type="dxa"/>
            <w:noWrap w:val="0"/>
            <w:vAlign w:val="center"/>
          </w:tcPr>
          <w:p>
            <w:pPr>
              <w:pStyle w:val="18"/>
            </w:pPr>
            <w:r>
              <w:t>确保正常运转天数占应正常运转天数的百分比</w:t>
            </w:r>
          </w:p>
        </w:tc>
        <w:tc>
          <w:tcPr>
            <w:tcW w:w="2551" w:type="dxa"/>
            <w:noWrap w:val="0"/>
            <w:vAlign w:val="center"/>
          </w:tcPr>
          <w:p>
            <w:pPr>
              <w:pStyle w:val="18"/>
            </w:pPr>
            <w:r>
              <w:t>100%</w:t>
            </w:r>
          </w:p>
        </w:tc>
        <w:tc>
          <w:tcPr>
            <w:tcW w:w="2268" w:type="dxa"/>
            <w:noWrap w:val="0"/>
            <w:vAlign w:val="center"/>
          </w:tcPr>
          <w:p>
            <w:pPr>
              <w:pStyle w:val="18"/>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服务持续时间</w:t>
            </w:r>
          </w:p>
        </w:tc>
        <w:tc>
          <w:tcPr>
            <w:tcW w:w="2835" w:type="dxa"/>
            <w:noWrap w:val="0"/>
            <w:vAlign w:val="center"/>
          </w:tcPr>
          <w:p>
            <w:pPr>
              <w:pStyle w:val="18"/>
            </w:pPr>
            <w:r>
              <w:t>服务持续时间</w:t>
            </w:r>
          </w:p>
        </w:tc>
        <w:tc>
          <w:tcPr>
            <w:tcW w:w="2551" w:type="dxa"/>
            <w:noWrap w:val="0"/>
            <w:vAlign w:val="center"/>
          </w:tcPr>
          <w:p>
            <w:pPr>
              <w:pStyle w:val="18"/>
            </w:pPr>
            <w:r>
              <w:t>1年</w:t>
            </w:r>
          </w:p>
        </w:tc>
        <w:tc>
          <w:tcPr>
            <w:tcW w:w="2268"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100%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12、自然资源和规划业务费绩效目标表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1.通过项目的开展完成日常工作，实现工作质量、效率的提高。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项目数量</w:t>
            </w:r>
          </w:p>
        </w:tc>
        <w:tc>
          <w:tcPr>
            <w:tcW w:w="2835" w:type="dxa"/>
            <w:noWrap w:val="0"/>
            <w:vAlign w:val="center"/>
          </w:tcPr>
          <w:p>
            <w:pPr>
              <w:pStyle w:val="18"/>
            </w:pPr>
            <w:r>
              <w:t>日常工作的需要</w:t>
            </w:r>
          </w:p>
        </w:tc>
        <w:tc>
          <w:tcPr>
            <w:tcW w:w="2551" w:type="dxa"/>
            <w:noWrap w:val="0"/>
            <w:vAlign w:val="center"/>
          </w:tcPr>
          <w:p>
            <w:pPr>
              <w:pStyle w:val="18"/>
            </w:pPr>
            <w:r>
              <w:t>1项</w:t>
            </w:r>
          </w:p>
        </w:tc>
        <w:tc>
          <w:tcPr>
            <w:tcW w:w="2268" w:type="dxa"/>
            <w:noWrap w:val="0"/>
            <w:vAlign w:val="center"/>
          </w:tcPr>
          <w:p>
            <w:pPr>
              <w:pStyle w:val="18"/>
            </w:pPr>
            <w:r>
              <w:t>项目说明、合同及票据复印件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工作完成率</w:t>
            </w:r>
          </w:p>
        </w:tc>
        <w:tc>
          <w:tcPr>
            <w:tcW w:w="2835" w:type="dxa"/>
            <w:noWrap w:val="0"/>
            <w:vAlign w:val="center"/>
          </w:tcPr>
          <w:p>
            <w:pPr>
              <w:pStyle w:val="18"/>
            </w:pPr>
            <w:r>
              <w:t>完成数量的占比</w:t>
            </w:r>
          </w:p>
        </w:tc>
        <w:tc>
          <w:tcPr>
            <w:tcW w:w="2551" w:type="dxa"/>
            <w:noWrap w:val="0"/>
            <w:vAlign w:val="center"/>
          </w:tcPr>
          <w:p>
            <w:pPr>
              <w:pStyle w:val="18"/>
            </w:pPr>
            <w:r>
              <w:t>100比率</w:t>
            </w:r>
          </w:p>
        </w:tc>
        <w:tc>
          <w:tcPr>
            <w:tcW w:w="2268" w:type="dxa"/>
            <w:noWrap w:val="0"/>
            <w:vAlign w:val="center"/>
          </w:tcPr>
          <w:p>
            <w:pPr>
              <w:pStyle w:val="18"/>
            </w:pPr>
            <w:r>
              <w:t>项目说明、合同及票据复印件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全年的规划业务费</w:t>
            </w:r>
          </w:p>
        </w:tc>
        <w:tc>
          <w:tcPr>
            <w:tcW w:w="2551" w:type="dxa"/>
            <w:noWrap w:val="0"/>
            <w:vAlign w:val="center"/>
          </w:tcPr>
          <w:p>
            <w:pPr>
              <w:pStyle w:val="18"/>
            </w:pPr>
            <w:r>
              <w:t>1年</w:t>
            </w:r>
          </w:p>
        </w:tc>
        <w:tc>
          <w:tcPr>
            <w:tcW w:w="2268" w:type="dxa"/>
            <w:noWrap w:val="0"/>
            <w:vAlign w:val="center"/>
          </w:tcPr>
          <w:p>
            <w:pPr>
              <w:pStyle w:val="18"/>
            </w:pPr>
            <w:r>
              <w:t>项目说明、合同及票据复印件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机构正常运转率</w:t>
            </w:r>
          </w:p>
        </w:tc>
        <w:tc>
          <w:tcPr>
            <w:tcW w:w="2835" w:type="dxa"/>
            <w:noWrap w:val="0"/>
            <w:vAlign w:val="center"/>
          </w:tcPr>
          <w:p>
            <w:pPr>
              <w:pStyle w:val="18"/>
            </w:pPr>
            <w:r>
              <w:t>确保正常运转天数占应正常运转天数的百分比</w:t>
            </w:r>
          </w:p>
        </w:tc>
        <w:tc>
          <w:tcPr>
            <w:tcW w:w="2551" w:type="dxa"/>
            <w:noWrap w:val="0"/>
            <w:vAlign w:val="center"/>
          </w:tcPr>
          <w:p>
            <w:pPr>
              <w:pStyle w:val="18"/>
            </w:pPr>
            <w:r>
              <w:t>100百分比</w:t>
            </w:r>
          </w:p>
        </w:tc>
        <w:tc>
          <w:tcPr>
            <w:tcW w:w="2268" w:type="dxa"/>
            <w:noWrap w:val="0"/>
            <w:vAlign w:val="center"/>
          </w:tcPr>
          <w:p>
            <w:pPr>
              <w:pStyle w:val="18"/>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满足日常办公需要</w:t>
            </w:r>
          </w:p>
        </w:tc>
        <w:tc>
          <w:tcPr>
            <w:tcW w:w="2835" w:type="dxa"/>
            <w:noWrap w:val="0"/>
            <w:vAlign w:val="center"/>
          </w:tcPr>
          <w:p>
            <w:pPr>
              <w:pStyle w:val="18"/>
            </w:pPr>
            <w:r>
              <w:t>满足日常办公需要</w:t>
            </w:r>
          </w:p>
        </w:tc>
        <w:tc>
          <w:tcPr>
            <w:tcW w:w="2551" w:type="dxa"/>
            <w:noWrap w:val="0"/>
            <w:vAlign w:val="center"/>
          </w:tcPr>
          <w:p>
            <w:pPr>
              <w:pStyle w:val="18"/>
            </w:pPr>
            <w:r>
              <w:t>满足日常办公需要</w:t>
            </w:r>
          </w:p>
        </w:tc>
        <w:tc>
          <w:tcPr>
            <w:tcW w:w="2268" w:type="dxa"/>
            <w:noWrap w:val="0"/>
            <w:vAlign w:val="center"/>
          </w:tcPr>
          <w:p>
            <w:pPr>
              <w:pStyle w:val="18"/>
            </w:pPr>
            <w:r>
              <w:t>满足日常办公需要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100%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13、2013-2016年违法图斑核实工作（森林资源督查）经费绩效目标表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 xml:space="preserve">1.通过项目的开展核查国家林草局下达我县疑似图斑具体情况，进行说明，保护森林资源。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调查核实率</w:t>
            </w:r>
          </w:p>
        </w:tc>
        <w:tc>
          <w:tcPr>
            <w:tcW w:w="2835" w:type="dxa"/>
            <w:noWrap w:val="0"/>
            <w:vAlign w:val="center"/>
          </w:tcPr>
          <w:p>
            <w:pPr>
              <w:pStyle w:val="18"/>
            </w:pPr>
          </w:p>
          <w:p>
            <w:pPr>
              <w:pStyle w:val="18"/>
            </w:pPr>
            <w:r>
              <w:t>对国家林草局下达我县疑似图斑进行调查核实</w:t>
            </w:r>
          </w:p>
        </w:tc>
        <w:tc>
          <w:tcPr>
            <w:tcW w:w="2551" w:type="dxa"/>
            <w:noWrap w:val="0"/>
            <w:vAlign w:val="center"/>
          </w:tcPr>
          <w:p>
            <w:pPr>
              <w:pStyle w:val="18"/>
            </w:pPr>
            <w:r>
              <w:t>≥100%</w:t>
            </w:r>
          </w:p>
        </w:tc>
        <w:tc>
          <w:tcPr>
            <w:tcW w:w="2268" w:type="dxa"/>
            <w:noWrap w:val="0"/>
            <w:vAlign w:val="center"/>
          </w:tcPr>
          <w:p>
            <w:pPr>
              <w:pStyle w:val="18"/>
            </w:pPr>
            <w:r>
              <w:t>2022年上级文件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任务完成质量达标率</w:t>
            </w:r>
          </w:p>
        </w:tc>
        <w:tc>
          <w:tcPr>
            <w:tcW w:w="2835" w:type="dxa"/>
            <w:noWrap w:val="0"/>
            <w:vAlign w:val="center"/>
          </w:tcPr>
          <w:p>
            <w:pPr>
              <w:pStyle w:val="18"/>
            </w:pPr>
            <w:r>
              <w:t>任务质量达标数占总任务数比例</w:t>
            </w:r>
          </w:p>
        </w:tc>
        <w:tc>
          <w:tcPr>
            <w:tcW w:w="2551" w:type="dxa"/>
            <w:noWrap w:val="0"/>
            <w:vAlign w:val="center"/>
          </w:tcPr>
          <w:p>
            <w:pPr>
              <w:pStyle w:val="18"/>
            </w:pPr>
            <w:r>
              <w:t>100百分比</w:t>
            </w:r>
          </w:p>
        </w:tc>
        <w:tc>
          <w:tcPr>
            <w:tcW w:w="2268" w:type="dxa"/>
            <w:noWrap w:val="0"/>
            <w:vAlign w:val="center"/>
          </w:tcPr>
          <w:p>
            <w:pPr>
              <w:pStyle w:val="18"/>
            </w:pPr>
            <w:r>
              <w:t>2022年上级文件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及时核查率</w:t>
            </w:r>
          </w:p>
        </w:tc>
        <w:tc>
          <w:tcPr>
            <w:tcW w:w="2835" w:type="dxa"/>
            <w:noWrap w:val="0"/>
            <w:vAlign w:val="center"/>
          </w:tcPr>
          <w:p>
            <w:pPr>
              <w:pStyle w:val="18"/>
            </w:pPr>
            <w:r>
              <w:t>在规定时间内进行核实情况</w:t>
            </w:r>
          </w:p>
        </w:tc>
        <w:tc>
          <w:tcPr>
            <w:tcW w:w="2551" w:type="dxa"/>
            <w:noWrap w:val="0"/>
            <w:vAlign w:val="center"/>
          </w:tcPr>
          <w:p>
            <w:pPr>
              <w:pStyle w:val="18"/>
            </w:pPr>
            <w:r>
              <w:t>≥100%</w:t>
            </w:r>
          </w:p>
        </w:tc>
        <w:tc>
          <w:tcPr>
            <w:tcW w:w="2268" w:type="dxa"/>
            <w:noWrap w:val="0"/>
            <w:vAlign w:val="center"/>
          </w:tcPr>
          <w:p>
            <w:pPr>
              <w:pStyle w:val="18"/>
            </w:pPr>
            <w:r>
              <w:t>2022年上级文件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成本超预算率</w:t>
            </w:r>
          </w:p>
        </w:tc>
        <w:tc>
          <w:tcPr>
            <w:tcW w:w="2835" w:type="dxa"/>
            <w:noWrap w:val="0"/>
            <w:vAlign w:val="center"/>
          </w:tcPr>
          <w:p>
            <w:pPr>
              <w:pStyle w:val="18"/>
            </w:pPr>
            <w:r>
              <w:t>成本是否超预算</w:t>
            </w:r>
          </w:p>
        </w:tc>
        <w:tc>
          <w:tcPr>
            <w:tcW w:w="2551" w:type="dxa"/>
            <w:noWrap w:val="0"/>
            <w:vAlign w:val="center"/>
          </w:tcPr>
          <w:p>
            <w:pPr>
              <w:pStyle w:val="18"/>
            </w:pPr>
            <w:r>
              <w:t>0.1%</w:t>
            </w:r>
          </w:p>
        </w:tc>
        <w:tc>
          <w:tcPr>
            <w:tcW w:w="2268" w:type="dxa"/>
            <w:noWrap w:val="0"/>
            <w:vAlign w:val="center"/>
          </w:tcPr>
          <w:p>
            <w:pPr>
              <w:pStyle w:val="18"/>
            </w:pPr>
            <w:r>
              <w:t>2022年上级文件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整改率</w:t>
            </w:r>
          </w:p>
        </w:tc>
        <w:tc>
          <w:tcPr>
            <w:tcW w:w="2835" w:type="dxa"/>
            <w:noWrap w:val="0"/>
            <w:vAlign w:val="center"/>
          </w:tcPr>
          <w:p>
            <w:pPr>
              <w:pStyle w:val="18"/>
            </w:pPr>
            <w:r>
              <w:t>对违法违规图斑进行分类整改</w:t>
            </w:r>
          </w:p>
        </w:tc>
        <w:tc>
          <w:tcPr>
            <w:tcW w:w="2551" w:type="dxa"/>
            <w:noWrap w:val="0"/>
            <w:vAlign w:val="center"/>
          </w:tcPr>
          <w:p>
            <w:pPr>
              <w:pStyle w:val="18"/>
            </w:pPr>
            <w:r>
              <w:t>90%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经济效益指标</w:t>
            </w:r>
          </w:p>
        </w:tc>
        <w:tc>
          <w:tcPr>
            <w:tcW w:w="2835" w:type="dxa"/>
            <w:noWrap w:val="0"/>
            <w:vAlign w:val="center"/>
          </w:tcPr>
          <w:p>
            <w:pPr>
              <w:pStyle w:val="18"/>
            </w:pPr>
            <w:r>
              <w:t>保护森林资源率</w:t>
            </w:r>
          </w:p>
        </w:tc>
        <w:tc>
          <w:tcPr>
            <w:tcW w:w="2835" w:type="dxa"/>
            <w:noWrap w:val="0"/>
            <w:vAlign w:val="center"/>
          </w:tcPr>
          <w:p>
            <w:pPr>
              <w:pStyle w:val="18"/>
            </w:pPr>
            <w:r>
              <w:t>保护森林资源</w:t>
            </w:r>
          </w:p>
        </w:tc>
        <w:tc>
          <w:tcPr>
            <w:tcW w:w="2551" w:type="dxa"/>
            <w:noWrap w:val="0"/>
            <w:vAlign w:val="center"/>
          </w:tcPr>
          <w:p>
            <w:pPr>
              <w:pStyle w:val="18"/>
            </w:pPr>
            <w:r>
              <w:t>≥90%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核查报告使用时间</w:t>
            </w:r>
          </w:p>
        </w:tc>
        <w:tc>
          <w:tcPr>
            <w:tcW w:w="2835" w:type="dxa"/>
            <w:noWrap w:val="0"/>
            <w:vAlign w:val="center"/>
          </w:tcPr>
          <w:p>
            <w:pPr>
              <w:pStyle w:val="18"/>
            </w:pPr>
            <w:r>
              <w:t>核查报告使用时间</w:t>
            </w:r>
          </w:p>
        </w:tc>
        <w:tc>
          <w:tcPr>
            <w:tcW w:w="2551" w:type="dxa"/>
            <w:noWrap w:val="0"/>
            <w:vAlign w:val="center"/>
          </w:tcPr>
          <w:p>
            <w:pPr>
              <w:pStyle w:val="18"/>
            </w:pPr>
            <w:r>
              <w:t>≥1年</w:t>
            </w:r>
          </w:p>
        </w:tc>
        <w:tc>
          <w:tcPr>
            <w:tcW w:w="2268"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政府满意度</w:t>
            </w:r>
          </w:p>
        </w:tc>
        <w:tc>
          <w:tcPr>
            <w:tcW w:w="2835" w:type="dxa"/>
            <w:noWrap w:val="0"/>
            <w:vAlign w:val="center"/>
          </w:tcPr>
          <w:p>
            <w:pPr>
              <w:pStyle w:val="18"/>
            </w:pPr>
            <w:r>
              <w:t>政府满意度</w:t>
            </w:r>
          </w:p>
        </w:tc>
        <w:tc>
          <w:tcPr>
            <w:tcW w:w="2551" w:type="dxa"/>
            <w:noWrap w:val="0"/>
            <w:vAlign w:val="center"/>
          </w:tcPr>
          <w:p>
            <w:pPr>
              <w:pStyle w:val="18"/>
            </w:pPr>
            <w:r>
              <w:t>100%</w:t>
            </w:r>
          </w:p>
        </w:tc>
        <w:tc>
          <w:tcPr>
            <w:tcW w:w="2268" w:type="dxa"/>
            <w:noWrap w:val="0"/>
            <w:vAlign w:val="center"/>
          </w:tcPr>
          <w:p>
            <w:pPr>
              <w:pStyle w:val="18"/>
            </w:pPr>
            <w:r>
              <w:t>相关表扬或工作实际</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14、2022年度国有建设用地供应计划编制项目经费绩效目标表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编制国有建设用地供应计划,一方面可以实现土地供应总量的控制,有利于实施以供给决定需求的土地供应政策,增强政府运用土地政策调控经济运行的主动性,优化土地利用结构,促进土地集约利用;另一方面,使投资者可以通过国有建设用地供应计划信息对市场前景进行正确的分析,形成正确的心理预期,从而达到调控自身投资行为的目的,保证土地市场和房地产市场公开、安全、平稳运行。</w:t>
            </w:r>
          </w:p>
          <w:p>
            <w:pPr>
              <w:pStyle w:val="18"/>
            </w:pPr>
            <w:r>
              <w:t>2.通过项目的开展，科学测算大厂县2021年土地供应的规模、结构、布局，并在中国土地市场网上进行供应，促进大厂县国有建设用地供应市场公开透明，实现我县土地一级市场公开、安全、平稳运行。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编制完成率</w:t>
            </w:r>
          </w:p>
        </w:tc>
        <w:tc>
          <w:tcPr>
            <w:tcW w:w="2835" w:type="dxa"/>
            <w:noWrap w:val="0"/>
            <w:vAlign w:val="center"/>
          </w:tcPr>
          <w:p>
            <w:pPr>
              <w:pStyle w:val="18"/>
            </w:pPr>
            <w:r>
              <w:t>编制完成率</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成果质检合格率</w:t>
            </w:r>
          </w:p>
        </w:tc>
        <w:tc>
          <w:tcPr>
            <w:tcW w:w="2835" w:type="dxa"/>
            <w:noWrap w:val="0"/>
            <w:vAlign w:val="center"/>
          </w:tcPr>
          <w:p>
            <w:pPr>
              <w:pStyle w:val="18"/>
            </w:pPr>
            <w:r>
              <w:t>成果质检合格率</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完成及时率</w:t>
            </w:r>
          </w:p>
        </w:tc>
        <w:tc>
          <w:tcPr>
            <w:tcW w:w="2835" w:type="dxa"/>
            <w:noWrap w:val="0"/>
            <w:vAlign w:val="center"/>
          </w:tcPr>
          <w:p>
            <w:pPr>
              <w:pStyle w:val="18"/>
            </w:pPr>
            <w:r>
              <w:t>在规定的时间节点内完成</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编制覆盖率</w:t>
            </w:r>
          </w:p>
        </w:tc>
        <w:tc>
          <w:tcPr>
            <w:tcW w:w="2835" w:type="dxa"/>
            <w:noWrap w:val="0"/>
            <w:vAlign w:val="center"/>
          </w:tcPr>
          <w:p>
            <w:pPr>
              <w:pStyle w:val="18"/>
            </w:pPr>
            <w:r>
              <w:t>编制国有建设用地供应计划覆盖率</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用地供应市场稳定年限</w:t>
            </w:r>
          </w:p>
        </w:tc>
        <w:tc>
          <w:tcPr>
            <w:tcW w:w="2835" w:type="dxa"/>
            <w:noWrap w:val="0"/>
            <w:vAlign w:val="center"/>
          </w:tcPr>
          <w:p>
            <w:pPr>
              <w:pStyle w:val="18"/>
            </w:pPr>
            <w:r>
              <w:t>促进大厂县国有建设用地供应市场安全、平稳运行年限</w:t>
            </w:r>
          </w:p>
        </w:tc>
        <w:tc>
          <w:tcPr>
            <w:tcW w:w="2551" w:type="dxa"/>
            <w:noWrap w:val="0"/>
            <w:vAlign w:val="center"/>
          </w:tcPr>
          <w:p>
            <w:pPr>
              <w:pStyle w:val="18"/>
            </w:pPr>
            <w:r>
              <w:t>≥1年</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受益对象满意度</w:t>
            </w:r>
          </w:p>
        </w:tc>
        <w:tc>
          <w:tcPr>
            <w:tcW w:w="2835" w:type="dxa"/>
            <w:noWrap w:val="0"/>
            <w:vAlign w:val="center"/>
          </w:tcPr>
          <w:p>
            <w:pPr>
              <w:pStyle w:val="18"/>
            </w:pPr>
            <w:r>
              <w:t>调查中满意和较满意的人数占调研总人数的比率</w:t>
            </w:r>
          </w:p>
        </w:tc>
        <w:tc>
          <w:tcPr>
            <w:tcW w:w="2551" w:type="dxa"/>
            <w:noWrap w:val="0"/>
            <w:vAlign w:val="center"/>
          </w:tcPr>
          <w:p>
            <w:pPr>
              <w:pStyle w:val="18"/>
            </w:pPr>
            <w:r>
              <w:t>≥95%</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15、2022年度河北大厂高新技术产业开发区土地集约利用评价项目经费</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1.通过评价开发区土地建设状况，充分体现出开发区土地集约利用程度，发挥评价成果在土地管理方面的约束指导作用，为开发区扩区升级提供依据。</w:t>
            </w:r>
          </w:p>
          <w:p>
            <w:pPr>
              <w:pStyle w:val="18"/>
            </w:pPr>
            <w:r>
              <w:t>2.完成2021年度河北大厂高新技术产业开发区土地集约利用评价工作，提升开发区土地管理水平，推进开发区土地集约利用程度，达到提升单位土地产能和价值的目的。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土地集约利用评价工作</w:t>
            </w:r>
          </w:p>
        </w:tc>
        <w:tc>
          <w:tcPr>
            <w:tcW w:w="2835" w:type="dxa"/>
            <w:noWrap w:val="0"/>
            <w:vAlign w:val="center"/>
          </w:tcPr>
          <w:p>
            <w:pPr>
              <w:pStyle w:val="18"/>
            </w:pPr>
            <w:r>
              <w:t>更新土地集约利用评价图件成果</w:t>
            </w:r>
          </w:p>
        </w:tc>
        <w:tc>
          <w:tcPr>
            <w:tcW w:w="2551" w:type="dxa"/>
            <w:noWrap w:val="0"/>
            <w:vAlign w:val="center"/>
          </w:tcPr>
          <w:p>
            <w:pPr>
              <w:pStyle w:val="18"/>
            </w:pPr>
            <w:r>
              <w:t>≥4张</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成果质检合格率</w:t>
            </w:r>
          </w:p>
        </w:tc>
        <w:tc>
          <w:tcPr>
            <w:tcW w:w="2835" w:type="dxa"/>
            <w:noWrap w:val="0"/>
            <w:vAlign w:val="center"/>
          </w:tcPr>
          <w:p>
            <w:pPr>
              <w:pStyle w:val="18"/>
            </w:pPr>
            <w:r>
              <w:t>成果质检合格率</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完成及时率</w:t>
            </w:r>
          </w:p>
        </w:tc>
        <w:tc>
          <w:tcPr>
            <w:tcW w:w="2835" w:type="dxa"/>
            <w:noWrap w:val="0"/>
            <w:vAlign w:val="center"/>
          </w:tcPr>
          <w:p>
            <w:pPr>
              <w:pStyle w:val="18"/>
            </w:pPr>
            <w:r>
              <w:t>在规定的时间节点内完成</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土地集约利用率</w:t>
            </w:r>
          </w:p>
        </w:tc>
        <w:tc>
          <w:tcPr>
            <w:tcW w:w="2835" w:type="dxa"/>
            <w:noWrap w:val="0"/>
            <w:vAlign w:val="center"/>
          </w:tcPr>
          <w:p>
            <w:pPr>
              <w:pStyle w:val="18"/>
            </w:pPr>
            <w:r>
              <w:t>提升土地集约利用率</w:t>
            </w:r>
          </w:p>
        </w:tc>
        <w:tc>
          <w:tcPr>
            <w:tcW w:w="2551" w:type="dxa"/>
            <w:noWrap w:val="0"/>
            <w:vAlign w:val="center"/>
          </w:tcPr>
          <w:p>
            <w:pPr>
              <w:pStyle w:val="18"/>
            </w:pPr>
            <w:r>
              <w:t>10%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推进开发区土地集约利用的年限</w:t>
            </w:r>
          </w:p>
        </w:tc>
        <w:tc>
          <w:tcPr>
            <w:tcW w:w="2835" w:type="dxa"/>
            <w:noWrap w:val="0"/>
            <w:vAlign w:val="center"/>
          </w:tcPr>
          <w:p>
            <w:pPr>
              <w:pStyle w:val="18"/>
            </w:pPr>
            <w:r>
              <w:t>推进开发区土地集约利用的年限</w:t>
            </w:r>
          </w:p>
        </w:tc>
        <w:tc>
          <w:tcPr>
            <w:tcW w:w="2551" w:type="dxa"/>
            <w:noWrap w:val="0"/>
            <w:vAlign w:val="center"/>
          </w:tcPr>
          <w:p>
            <w:pPr>
              <w:pStyle w:val="18"/>
            </w:pPr>
            <w:r>
              <w:t>≥1年</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受益对象满意度</w:t>
            </w:r>
          </w:p>
        </w:tc>
        <w:tc>
          <w:tcPr>
            <w:tcW w:w="2835" w:type="dxa"/>
            <w:noWrap w:val="0"/>
            <w:vAlign w:val="center"/>
          </w:tcPr>
          <w:p>
            <w:pPr>
              <w:pStyle w:val="18"/>
            </w:pPr>
            <w:r>
              <w:t>调查中满意和较满意的人数占调研总人数的比率</w:t>
            </w:r>
          </w:p>
        </w:tc>
        <w:tc>
          <w:tcPr>
            <w:tcW w:w="2551" w:type="dxa"/>
            <w:noWrap w:val="0"/>
            <w:vAlign w:val="center"/>
          </w:tcPr>
          <w:p>
            <w:pPr>
              <w:pStyle w:val="18"/>
            </w:pPr>
            <w:r>
              <w:t>≥95%</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16、2022年度土地储备计划项目资金绩效目标表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1.通过项目的开展，合理确定土地储备规模，加大对土地市场的调控力度，盘活存量建设用地，促进节约集约用地，提高建设用地保障能力。</w:t>
            </w:r>
          </w:p>
          <w:p>
            <w:pPr>
              <w:pStyle w:val="18"/>
            </w:pPr>
            <w:r>
              <w:t>2.通过项目的开展，编制2022年度土地储备计划，对可收储的土地资源，在总量、结构、布局、时序等方面做出统筹安排，优先储备空闲、低效利用等存量建设用地。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编制土地储备计划</w:t>
            </w:r>
          </w:p>
        </w:tc>
        <w:tc>
          <w:tcPr>
            <w:tcW w:w="2835" w:type="dxa"/>
            <w:noWrap w:val="0"/>
            <w:vAlign w:val="center"/>
          </w:tcPr>
          <w:p>
            <w:pPr>
              <w:pStyle w:val="18"/>
            </w:pPr>
            <w:r>
              <w:t>编制土地储备计划</w:t>
            </w:r>
          </w:p>
        </w:tc>
        <w:tc>
          <w:tcPr>
            <w:tcW w:w="2551" w:type="dxa"/>
            <w:noWrap w:val="0"/>
            <w:vAlign w:val="center"/>
          </w:tcPr>
          <w:p>
            <w:pPr>
              <w:pStyle w:val="18"/>
            </w:pPr>
            <w:r>
              <w:t>1本</w:t>
            </w:r>
          </w:p>
        </w:tc>
        <w:tc>
          <w:tcPr>
            <w:tcW w:w="2268" w:type="dxa"/>
            <w:noWrap w:val="0"/>
            <w:vAlign w:val="center"/>
          </w:tcPr>
          <w:p>
            <w:pPr>
              <w:pStyle w:val="18"/>
            </w:pPr>
            <w:r>
              <w:t>《土地储备管理办法》国土资规〔2017〕17号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编制完成率</w:t>
            </w:r>
          </w:p>
        </w:tc>
        <w:tc>
          <w:tcPr>
            <w:tcW w:w="2835" w:type="dxa"/>
            <w:noWrap w:val="0"/>
            <w:vAlign w:val="center"/>
          </w:tcPr>
          <w:p>
            <w:pPr>
              <w:pStyle w:val="18"/>
            </w:pPr>
            <w:r>
              <w:t>项目完成数量的占比</w:t>
            </w:r>
          </w:p>
        </w:tc>
        <w:tc>
          <w:tcPr>
            <w:tcW w:w="2551" w:type="dxa"/>
            <w:noWrap w:val="0"/>
            <w:vAlign w:val="center"/>
          </w:tcPr>
          <w:p>
            <w:pPr>
              <w:pStyle w:val="18"/>
            </w:pPr>
            <w:r>
              <w:t>100%</w:t>
            </w:r>
          </w:p>
        </w:tc>
        <w:tc>
          <w:tcPr>
            <w:tcW w:w="2268" w:type="dxa"/>
            <w:noWrap w:val="0"/>
            <w:vAlign w:val="center"/>
          </w:tcPr>
          <w:p>
            <w:pPr>
              <w:pStyle w:val="18"/>
            </w:pPr>
            <w:r>
              <w:t>《土地储备管理办法》国土资规〔2017〕17号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项目编制完成时间</w:t>
            </w:r>
          </w:p>
        </w:tc>
        <w:tc>
          <w:tcPr>
            <w:tcW w:w="2551" w:type="dxa"/>
            <w:noWrap w:val="0"/>
            <w:vAlign w:val="center"/>
          </w:tcPr>
          <w:p>
            <w:pPr>
              <w:pStyle w:val="18"/>
            </w:pPr>
            <w:r>
              <w:t>3月</w:t>
            </w:r>
          </w:p>
        </w:tc>
        <w:tc>
          <w:tcPr>
            <w:tcW w:w="2268" w:type="dxa"/>
            <w:noWrap w:val="0"/>
            <w:vAlign w:val="center"/>
          </w:tcPr>
          <w:p>
            <w:pPr>
              <w:pStyle w:val="18"/>
            </w:pPr>
            <w:r>
              <w:t>《土地储备管理办法》国土资规〔2017〕17号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土地储备计划使用率</w:t>
            </w:r>
          </w:p>
        </w:tc>
        <w:tc>
          <w:tcPr>
            <w:tcW w:w="2835" w:type="dxa"/>
            <w:noWrap w:val="0"/>
            <w:vAlign w:val="center"/>
          </w:tcPr>
          <w:p>
            <w:pPr>
              <w:pStyle w:val="18"/>
            </w:pPr>
            <w:r>
              <w:t>土地储备技术是否实际使用</w:t>
            </w:r>
          </w:p>
        </w:tc>
        <w:tc>
          <w:tcPr>
            <w:tcW w:w="2551" w:type="dxa"/>
            <w:noWrap w:val="0"/>
            <w:vAlign w:val="center"/>
          </w:tcPr>
          <w:p>
            <w:pPr>
              <w:pStyle w:val="18"/>
            </w:pPr>
            <w:r>
              <w:t>100%</w:t>
            </w:r>
          </w:p>
        </w:tc>
        <w:tc>
          <w:tcPr>
            <w:tcW w:w="226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使用时间</w:t>
            </w:r>
          </w:p>
        </w:tc>
        <w:tc>
          <w:tcPr>
            <w:tcW w:w="2835" w:type="dxa"/>
            <w:noWrap w:val="0"/>
            <w:vAlign w:val="center"/>
          </w:tcPr>
          <w:p>
            <w:pPr>
              <w:pStyle w:val="18"/>
            </w:pPr>
            <w:r>
              <w:t>储备计划成果使用时间</w:t>
            </w:r>
          </w:p>
        </w:tc>
        <w:tc>
          <w:tcPr>
            <w:tcW w:w="2551" w:type="dxa"/>
            <w:noWrap w:val="0"/>
            <w:vAlign w:val="center"/>
          </w:tcPr>
          <w:p>
            <w:pPr>
              <w:pStyle w:val="18"/>
            </w:pPr>
            <w:r>
              <w:t>1年</w:t>
            </w:r>
          </w:p>
        </w:tc>
        <w:tc>
          <w:tcPr>
            <w:tcW w:w="2268" w:type="dxa"/>
            <w:noWrap w:val="0"/>
            <w:vAlign w:val="center"/>
          </w:tcPr>
          <w:p>
            <w:pPr>
              <w:pStyle w:val="18"/>
            </w:pPr>
            <w:r>
              <w:t>《土地储备管理办法》国土资规〔2017〕17号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异议率</w:t>
            </w:r>
          </w:p>
        </w:tc>
        <w:tc>
          <w:tcPr>
            <w:tcW w:w="2835" w:type="dxa"/>
            <w:noWrap w:val="0"/>
            <w:vAlign w:val="center"/>
          </w:tcPr>
          <w:p>
            <w:pPr>
              <w:pStyle w:val="18"/>
            </w:pPr>
            <w:r>
              <w:t>对所编制的规划提出异议的比率</w:t>
            </w:r>
          </w:p>
        </w:tc>
        <w:tc>
          <w:tcPr>
            <w:tcW w:w="2551" w:type="dxa"/>
            <w:noWrap w:val="0"/>
            <w:vAlign w:val="center"/>
          </w:tcPr>
          <w:p>
            <w:pPr>
              <w:pStyle w:val="18"/>
            </w:pPr>
            <w:r>
              <w:t>0.01比率</w:t>
            </w:r>
          </w:p>
        </w:tc>
        <w:tc>
          <w:tcPr>
            <w:tcW w:w="2268" w:type="dxa"/>
            <w:noWrap w:val="0"/>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17、2022年度土地储备资金绩效目标表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1.通过项目的开展加大对土地市场的调控力度，盘活存量建设用地，促进节约集约用地，提高建设用地保障能力，为县域经济发展提供有力的土地资源保障。</w:t>
            </w:r>
          </w:p>
          <w:p>
            <w:pPr>
              <w:pStyle w:val="18"/>
            </w:pPr>
            <w:r>
              <w:t>2.依规收储土地，盘活存量建设用地，切实保障重大项目、民生工程、公共设施、公益事业和生态建设用地、新型城镇化和安置区项目建设用地需求，为我县经济社会可持续发展提供资源保障。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拟收储土地数量</w:t>
            </w:r>
          </w:p>
        </w:tc>
        <w:tc>
          <w:tcPr>
            <w:tcW w:w="2835" w:type="dxa"/>
            <w:noWrap w:val="0"/>
            <w:vAlign w:val="center"/>
          </w:tcPr>
          <w:p>
            <w:pPr>
              <w:pStyle w:val="18"/>
            </w:pPr>
            <w:r>
              <w:t>根据土地储备计划预计完成收储土地数量</w:t>
            </w:r>
          </w:p>
        </w:tc>
        <w:tc>
          <w:tcPr>
            <w:tcW w:w="2551" w:type="dxa"/>
            <w:noWrap w:val="0"/>
            <w:vAlign w:val="center"/>
          </w:tcPr>
          <w:p>
            <w:pPr>
              <w:pStyle w:val="18"/>
            </w:pPr>
            <w:r>
              <w:t>≥23宗</w:t>
            </w:r>
          </w:p>
        </w:tc>
        <w:tc>
          <w:tcPr>
            <w:tcW w:w="2268" w:type="dxa"/>
            <w:noWrap w:val="0"/>
            <w:vAlign w:val="center"/>
          </w:tcPr>
          <w:p>
            <w:pPr>
              <w:pStyle w:val="18"/>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土地盘活率</w:t>
            </w:r>
          </w:p>
        </w:tc>
        <w:tc>
          <w:tcPr>
            <w:tcW w:w="2835" w:type="dxa"/>
            <w:noWrap w:val="0"/>
            <w:vAlign w:val="center"/>
          </w:tcPr>
          <w:p>
            <w:pPr>
              <w:pStyle w:val="18"/>
            </w:pPr>
            <w:r>
              <w:t>盘活土地宗数占应盘活土地比例</w:t>
            </w:r>
          </w:p>
        </w:tc>
        <w:tc>
          <w:tcPr>
            <w:tcW w:w="2551" w:type="dxa"/>
            <w:noWrap w:val="0"/>
            <w:vAlign w:val="center"/>
          </w:tcPr>
          <w:p>
            <w:pPr>
              <w:pStyle w:val="18"/>
            </w:pPr>
            <w:r>
              <w:t>≥90%</w:t>
            </w:r>
          </w:p>
        </w:tc>
        <w:tc>
          <w:tcPr>
            <w:tcW w:w="2268" w:type="dxa"/>
            <w:noWrap w:val="0"/>
            <w:vAlign w:val="center"/>
          </w:tcPr>
          <w:p>
            <w:pPr>
              <w:pStyle w:val="18"/>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项目完成时间</w:t>
            </w:r>
          </w:p>
        </w:tc>
        <w:tc>
          <w:tcPr>
            <w:tcW w:w="2551" w:type="dxa"/>
            <w:noWrap w:val="0"/>
            <w:vAlign w:val="center"/>
          </w:tcPr>
          <w:p>
            <w:pPr>
              <w:pStyle w:val="18"/>
            </w:pPr>
            <w:r>
              <w:t>1年</w:t>
            </w:r>
          </w:p>
        </w:tc>
        <w:tc>
          <w:tcPr>
            <w:tcW w:w="2268" w:type="dxa"/>
            <w:noWrap w:val="0"/>
            <w:vAlign w:val="center"/>
          </w:tcPr>
          <w:p>
            <w:pPr>
              <w:pStyle w:val="18"/>
            </w:pPr>
            <w:r>
              <w:t>年度土地储备计划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储备土地使用率</w:t>
            </w:r>
          </w:p>
        </w:tc>
        <w:tc>
          <w:tcPr>
            <w:tcW w:w="2835" w:type="dxa"/>
            <w:noWrap w:val="0"/>
            <w:vAlign w:val="center"/>
          </w:tcPr>
          <w:p>
            <w:pPr>
              <w:pStyle w:val="18"/>
            </w:pPr>
            <w:r>
              <w:t>储备土地实际使用情况</w:t>
            </w:r>
          </w:p>
        </w:tc>
        <w:tc>
          <w:tcPr>
            <w:tcW w:w="2551" w:type="dxa"/>
            <w:noWrap w:val="0"/>
            <w:vAlign w:val="center"/>
          </w:tcPr>
          <w:p>
            <w:pPr>
              <w:pStyle w:val="18"/>
            </w:pPr>
            <w:r>
              <w:t>≥90%</w:t>
            </w:r>
          </w:p>
        </w:tc>
        <w:tc>
          <w:tcPr>
            <w:tcW w:w="226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使用时间</w:t>
            </w:r>
          </w:p>
        </w:tc>
        <w:tc>
          <w:tcPr>
            <w:tcW w:w="2835" w:type="dxa"/>
            <w:noWrap w:val="0"/>
            <w:vAlign w:val="center"/>
          </w:tcPr>
          <w:p>
            <w:pPr>
              <w:pStyle w:val="18"/>
            </w:pPr>
            <w:r>
              <w:t>储备地块出让后使用时间</w:t>
            </w:r>
          </w:p>
        </w:tc>
        <w:tc>
          <w:tcPr>
            <w:tcW w:w="2551" w:type="dxa"/>
            <w:noWrap w:val="0"/>
            <w:vAlign w:val="center"/>
          </w:tcPr>
          <w:p>
            <w:pPr>
              <w:pStyle w:val="18"/>
            </w:pPr>
            <w:r>
              <w:t>≥40年</w:t>
            </w:r>
          </w:p>
        </w:tc>
        <w:tc>
          <w:tcPr>
            <w:tcW w:w="2268" w:type="dxa"/>
            <w:noWrap w:val="0"/>
            <w:vAlign w:val="center"/>
          </w:tcPr>
          <w:p>
            <w:pPr>
              <w:pStyle w:val="18"/>
            </w:pPr>
            <w:r>
              <w:rPr>
                <w:rFonts w:hint="eastAsia"/>
              </w:rPr>
              <w:t>《中华人民共和国土地管理法》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对所编制的规划提出异议的比率</w:t>
            </w:r>
          </w:p>
        </w:tc>
        <w:tc>
          <w:tcPr>
            <w:tcW w:w="2835" w:type="dxa"/>
            <w:noWrap w:val="0"/>
            <w:vAlign w:val="center"/>
          </w:tcPr>
          <w:p>
            <w:pPr>
              <w:pStyle w:val="18"/>
            </w:pPr>
            <w:r>
              <w:t>异议率每增加10%，减分值减5%</w:t>
            </w:r>
          </w:p>
        </w:tc>
        <w:tc>
          <w:tcPr>
            <w:tcW w:w="2551" w:type="dxa"/>
            <w:noWrap w:val="0"/>
            <w:vAlign w:val="center"/>
          </w:tcPr>
          <w:p>
            <w:pPr>
              <w:pStyle w:val="18"/>
            </w:pPr>
            <w:r>
              <w:t>0.01比率</w:t>
            </w:r>
          </w:p>
        </w:tc>
        <w:tc>
          <w:tcPr>
            <w:tcW w:w="2268" w:type="dxa"/>
            <w:noWrap w:val="0"/>
            <w:vAlign w:val="center"/>
          </w:tcPr>
          <w:p>
            <w:pPr>
              <w:pStyle w:val="18"/>
            </w:pPr>
            <w:r>
              <w:t>满意度调查问卷</w:t>
            </w:r>
          </w:p>
        </w:tc>
      </w:tr>
    </w:tbl>
    <w:p>
      <w:pPr>
        <w:sectPr>
          <w:pgSz w:w="16840" w:h="11900" w:orient="landscape"/>
          <w:pgMar w:top="1361" w:right="1020" w:bottom="1134" w:left="1020" w:header="720" w:footer="720" w:gutter="0"/>
          <w:cols w:space="720" w:num="1"/>
        </w:sectPr>
      </w:pPr>
      <w:bookmarkStart w:id="2" w:name="_GoBack"/>
      <w:bookmarkEnd w:id="2"/>
    </w:p>
    <w:p>
      <w:pPr>
        <w:spacing w:before="0" w:after="0"/>
        <w:ind w:firstLine="560"/>
        <w:jc w:val="left"/>
        <w:outlineLvl w:val="9"/>
      </w:pPr>
      <w:r>
        <w:rPr>
          <w:rFonts w:ascii="方正仿宋_GBK" w:hAnsi="方正仿宋_GBK" w:eastAsia="方正仿宋_GBK" w:cs="方正仿宋_GBK"/>
          <w:b/>
          <w:color w:val="000000"/>
          <w:sz w:val="28"/>
        </w:rPr>
        <w:t>18、2022年增减挂钩节余指标和占补平衡指标资金绩效目标表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1.根据2022年实际指标需求购买占补平衡指标及节余指标，为缓解我县项目建设用地指标和占补平衡指标不足问题，促进大厂县发展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占补平衡指标</w:t>
            </w:r>
          </w:p>
        </w:tc>
        <w:tc>
          <w:tcPr>
            <w:tcW w:w="2835" w:type="dxa"/>
            <w:noWrap w:val="0"/>
            <w:vAlign w:val="center"/>
          </w:tcPr>
          <w:p>
            <w:pPr>
              <w:pStyle w:val="18"/>
            </w:pPr>
            <w:r>
              <w:t>占补平衡指标</w:t>
            </w:r>
          </w:p>
        </w:tc>
        <w:tc>
          <w:tcPr>
            <w:tcW w:w="2551" w:type="dxa"/>
            <w:noWrap w:val="0"/>
            <w:vAlign w:val="center"/>
          </w:tcPr>
          <w:p>
            <w:pPr>
              <w:pStyle w:val="18"/>
            </w:pPr>
            <w:r>
              <w:t>490亩</w:t>
            </w:r>
          </w:p>
        </w:tc>
        <w:tc>
          <w:tcPr>
            <w:tcW w:w="2268" w:type="dxa"/>
            <w:noWrap w:val="0"/>
            <w:vAlign w:val="center"/>
          </w:tcPr>
          <w:p>
            <w:pPr>
              <w:pStyle w:val="18"/>
            </w:pPr>
            <w:r>
              <w:t>（冀自然资字〔2020〕118号）和河北省人民政府办公厅关于印发河北省补充耕地指标省级调剂暂行办法的通知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节余指标</w:t>
            </w:r>
          </w:p>
        </w:tc>
        <w:tc>
          <w:tcPr>
            <w:tcW w:w="2835" w:type="dxa"/>
            <w:noWrap w:val="0"/>
            <w:vAlign w:val="center"/>
          </w:tcPr>
          <w:p>
            <w:pPr>
              <w:pStyle w:val="18"/>
            </w:pPr>
            <w:r>
              <w:t>城乡建设用地增减挂钩节余指标</w:t>
            </w:r>
          </w:p>
        </w:tc>
        <w:tc>
          <w:tcPr>
            <w:tcW w:w="2551" w:type="dxa"/>
            <w:noWrap w:val="0"/>
            <w:vAlign w:val="center"/>
          </w:tcPr>
          <w:p>
            <w:pPr>
              <w:pStyle w:val="18"/>
            </w:pPr>
            <w:r>
              <w:t>400亩</w:t>
            </w:r>
          </w:p>
        </w:tc>
        <w:tc>
          <w:tcPr>
            <w:tcW w:w="2268" w:type="dxa"/>
            <w:noWrap w:val="0"/>
            <w:vAlign w:val="center"/>
          </w:tcPr>
          <w:p>
            <w:pPr>
              <w:pStyle w:val="18"/>
            </w:pPr>
            <w:r>
              <w:t>（冀自然资字〔2020〕118号）和河北省人民政府办公厅关于印发河北省补充耕地指标省级调剂暂行办法的通知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协议实现率</w:t>
            </w:r>
          </w:p>
        </w:tc>
        <w:tc>
          <w:tcPr>
            <w:tcW w:w="2835" w:type="dxa"/>
            <w:noWrap w:val="0"/>
            <w:vAlign w:val="center"/>
          </w:tcPr>
          <w:p>
            <w:pPr>
              <w:pStyle w:val="18"/>
            </w:pPr>
            <w:r>
              <w:t>协议目标实现的数量占总数量的比例</w:t>
            </w:r>
          </w:p>
        </w:tc>
        <w:tc>
          <w:tcPr>
            <w:tcW w:w="2551" w:type="dxa"/>
            <w:noWrap w:val="0"/>
            <w:vAlign w:val="center"/>
          </w:tcPr>
          <w:p>
            <w:pPr>
              <w:pStyle w:val="18"/>
            </w:pPr>
            <w:r>
              <w:t>100百分比</w:t>
            </w:r>
          </w:p>
        </w:tc>
        <w:tc>
          <w:tcPr>
            <w:tcW w:w="2268" w:type="dxa"/>
            <w:noWrap w:val="0"/>
            <w:vAlign w:val="center"/>
          </w:tcPr>
          <w:p>
            <w:pPr>
              <w:pStyle w:val="18"/>
            </w:pPr>
            <w:r>
              <w:t>（冀自然资字〔2020〕118号）和河北省人民政府办公厅关于印发河北省补充耕地指标省级调剂暂行办法的通知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完成及时率</w:t>
            </w:r>
          </w:p>
        </w:tc>
        <w:tc>
          <w:tcPr>
            <w:tcW w:w="2835" w:type="dxa"/>
            <w:noWrap w:val="0"/>
            <w:vAlign w:val="center"/>
          </w:tcPr>
          <w:p>
            <w:pPr>
              <w:pStyle w:val="18"/>
            </w:pPr>
            <w:r>
              <w:t>完成及时率</w:t>
            </w:r>
          </w:p>
        </w:tc>
        <w:tc>
          <w:tcPr>
            <w:tcW w:w="2551" w:type="dxa"/>
            <w:noWrap w:val="0"/>
            <w:vAlign w:val="center"/>
          </w:tcPr>
          <w:p>
            <w:pPr>
              <w:pStyle w:val="18"/>
            </w:pPr>
            <w:r>
              <w:t>100百分比</w:t>
            </w:r>
          </w:p>
        </w:tc>
        <w:tc>
          <w:tcPr>
            <w:tcW w:w="2268" w:type="dxa"/>
            <w:noWrap w:val="0"/>
            <w:vAlign w:val="center"/>
          </w:tcPr>
          <w:p>
            <w:pPr>
              <w:pStyle w:val="18"/>
            </w:pPr>
            <w:r>
              <w:t>（冀自然资字〔2020〕118号）和河北省人民政府办公厅关于印发河北省补充耕地指标省级调剂暂行办法的通知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平衡指标单位成本</w:t>
            </w:r>
          </w:p>
        </w:tc>
        <w:tc>
          <w:tcPr>
            <w:tcW w:w="2835" w:type="dxa"/>
            <w:noWrap w:val="0"/>
            <w:vAlign w:val="center"/>
          </w:tcPr>
          <w:p>
            <w:pPr>
              <w:pStyle w:val="18"/>
            </w:pPr>
            <w:r>
              <w:t>占补平衡指标</w:t>
            </w:r>
          </w:p>
        </w:tc>
        <w:tc>
          <w:tcPr>
            <w:tcW w:w="2551" w:type="dxa"/>
            <w:noWrap w:val="0"/>
            <w:vAlign w:val="center"/>
          </w:tcPr>
          <w:p>
            <w:pPr>
              <w:pStyle w:val="18"/>
            </w:pPr>
            <w:r>
              <w:t>18万元/亩</w:t>
            </w:r>
          </w:p>
        </w:tc>
        <w:tc>
          <w:tcPr>
            <w:tcW w:w="2268" w:type="dxa"/>
            <w:noWrap w:val="0"/>
            <w:vAlign w:val="center"/>
          </w:tcPr>
          <w:p>
            <w:pPr>
              <w:pStyle w:val="18"/>
            </w:pPr>
            <w:r>
              <w:t>（冀自然资字〔2020〕118号）和河北省人民政府办公厅关于印发河北省补充耕地指标省级调剂暂行办法的通知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节余指标单位成本</w:t>
            </w:r>
          </w:p>
        </w:tc>
        <w:tc>
          <w:tcPr>
            <w:tcW w:w="2835" w:type="dxa"/>
            <w:noWrap w:val="0"/>
            <w:vAlign w:val="center"/>
          </w:tcPr>
          <w:p>
            <w:pPr>
              <w:pStyle w:val="18"/>
            </w:pPr>
            <w:r>
              <w:t>节余指标单位成本</w:t>
            </w:r>
          </w:p>
        </w:tc>
        <w:tc>
          <w:tcPr>
            <w:tcW w:w="2551" w:type="dxa"/>
            <w:noWrap w:val="0"/>
            <w:vAlign w:val="center"/>
          </w:tcPr>
          <w:p>
            <w:pPr>
              <w:pStyle w:val="18"/>
            </w:pPr>
            <w:r>
              <w:t>≤28万元/亩</w:t>
            </w:r>
          </w:p>
        </w:tc>
        <w:tc>
          <w:tcPr>
            <w:tcW w:w="2268" w:type="dxa"/>
            <w:noWrap w:val="0"/>
            <w:vAlign w:val="center"/>
          </w:tcPr>
          <w:p>
            <w:pPr>
              <w:pStyle w:val="18"/>
            </w:pPr>
            <w:r>
              <w:t>（冀自然资字〔2020〕118号）和河北省人民政府办公厅关于印发河北省补充耕地指标省级调剂暂行办法的通知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提升就业率</w:t>
            </w:r>
          </w:p>
        </w:tc>
        <w:tc>
          <w:tcPr>
            <w:tcW w:w="2835" w:type="dxa"/>
            <w:noWrap w:val="0"/>
            <w:vAlign w:val="center"/>
          </w:tcPr>
          <w:p>
            <w:pPr>
              <w:pStyle w:val="18"/>
            </w:pPr>
            <w:r>
              <w:t>使用指标的建设单位的用工人数</w:t>
            </w:r>
          </w:p>
        </w:tc>
        <w:tc>
          <w:tcPr>
            <w:tcW w:w="2551" w:type="dxa"/>
            <w:noWrap w:val="0"/>
            <w:vAlign w:val="center"/>
          </w:tcPr>
          <w:p>
            <w:pPr>
              <w:pStyle w:val="18"/>
            </w:pPr>
            <w:r>
              <w:t>5%</w:t>
            </w:r>
          </w:p>
        </w:tc>
        <w:tc>
          <w:tcPr>
            <w:tcW w:w="2268" w:type="dxa"/>
            <w:noWrap w:val="0"/>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经济效益指标</w:t>
            </w:r>
          </w:p>
        </w:tc>
        <w:tc>
          <w:tcPr>
            <w:tcW w:w="2835" w:type="dxa"/>
            <w:noWrap w:val="0"/>
            <w:vAlign w:val="center"/>
          </w:tcPr>
          <w:p>
            <w:pPr>
              <w:pStyle w:val="18"/>
            </w:pPr>
            <w:r>
              <w:t>经济提升率</w:t>
            </w:r>
          </w:p>
        </w:tc>
        <w:tc>
          <w:tcPr>
            <w:tcW w:w="2835" w:type="dxa"/>
            <w:noWrap w:val="0"/>
            <w:vAlign w:val="center"/>
          </w:tcPr>
          <w:p>
            <w:pPr>
              <w:pStyle w:val="18"/>
            </w:pPr>
            <w:r>
              <w:t>促进经济发展</w:t>
            </w:r>
          </w:p>
        </w:tc>
        <w:tc>
          <w:tcPr>
            <w:tcW w:w="2551" w:type="dxa"/>
            <w:noWrap w:val="0"/>
            <w:vAlign w:val="center"/>
          </w:tcPr>
          <w:p>
            <w:pPr>
              <w:pStyle w:val="18"/>
            </w:pPr>
            <w:r>
              <w:t>5%</w:t>
            </w:r>
          </w:p>
        </w:tc>
        <w:tc>
          <w:tcPr>
            <w:tcW w:w="2268" w:type="dxa"/>
            <w:noWrap w:val="0"/>
            <w:vAlign w:val="center"/>
          </w:tcPr>
          <w:p>
            <w:pPr>
              <w:pStyle w:val="18"/>
            </w:pPr>
            <w:r>
              <w:t>（冀自然资字〔2020〕118号）和河北省人民政府办公厅关于印发河北省补充耕地指标省级调剂暂行办法的通知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指标使用时间</w:t>
            </w:r>
          </w:p>
        </w:tc>
        <w:tc>
          <w:tcPr>
            <w:tcW w:w="2835" w:type="dxa"/>
            <w:noWrap w:val="0"/>
            <w:vAlign w:val="center"/>
          </w:tcPr>
          <w:p>
            <w:pPr>
              <w:pStyle w:val="18"/>
            </w:pPr>
            <w:r>
              <w:t>购买指标后的使用时间</w:t>
            </w:r>
          </w:p>
        </w:tc>
        <w:tc>
          <w:tcPr>
            <w:tcW w:w="2551" w:type="dxa"/>
            <w:noWrap w:val="0"/>
            <w:vAlign w:val="center"/>
          </w:tcPr>
          <w:p>
            <w:pPr>
              <w:pStyle w:val="18"/>
            </w:pPr>
            <w:r>
              <w:t>≥70年</w:t>
            </w:r>
          </w:p>
        </w:tc>
        <w:tc>
          <w:tcPr>
            <w:tcW w:w="2268" w:type="dxa"/>
            <w:noWrap w:val="0"/>
            <w:vAlign w:val="center"/>
          </w:tcPr>
          <w:p>
            <w:pPr>
              <w:pStyle w:val="18"/>
            </w:pPr>
            <w:r>
              <w:t>（冀自然资字〔2020〕118号）和河北省人民政府办公厅关于印发河北省补充耕地指标省级调剂暂行办法的通知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服务对象满意度</w:t>
            </w:r>
          </w:p>
        </w:tc>
        <w:tc>
          <w:tcPr>
            <w:tcW w:w="2551" w:type="dxa"/>
            <w:noWrap w:val="0"/>
            <w:vAlign w:val="center"/>
          </w:tcPr>
          <w:p>
            <w:pPr>
              <w:pStyle w:val="18"/>
            </w:pPr>
            <w:r>
              <w:t>≥90%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19、2项重点地区城市设计资金绩效目标表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1.推进重点地区城市设计，明确重点地区特色品质和路径，打造区段特色品质，发挥社会长久效益。</w:t>
            </w:r>
          </w:p>
          <w:p>
            <w:pPr>
              <w:pStyle w:val="18"/>
            </w:pPr>
            <w:r>
              <w:t>2.按照项目实施计划，项目逐步开展，充分发挥城市设计在城市建设中的重要作用，落实县城建设提质升级工作要求，实现高质量高水平的重点地区城市设计。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编制数量</w:t>
            </w:r>
          </w:p>
        </w:tc>
        <w:tc>
          <w:tcPr>
            <w:tcW w:w="2835" w:type="dxa"/>
            <w:noWrap w:val="0"/>
            <w:vAlign w:val="center"/>
          </w:tcPr>
          <w:p>
            <w:pPr>
              <w:pStyle w:val="18"/>
            </w:pPr>
            <w:r>
              <w:t>城市设计编制数量情况</w:t>
            </w:r>
          </w:p>
        </w:tc>
        <w:tc>
          <w:tcPr>
            <w:tcW w:w="2551" w:type="dxa"/>
            <w:noWrap w:val="0"/>
            <w:vAlign w:val="center"/>
          </w:tcPr>
          <w:p>
            <w:pPr>
              <w:pStyle w:val="18"/>
            </w:pPr>
            <w:r>
              <w:t>2项</w:t>
            </w:r>
          </w:p>
        </w:tc>
        <w:tc>
          <w:tcPr>
            <w:tcW w:w="2268" w:type="dxa"/>
            <w:noWrap w:val="0"/>
            <w:vAlign w:val="center"/>
          </w:tcPr>
          <w:p>
            <w:pPr>
              <w:pStyle w:val="18"/>
            </w:pPr>
            <w:r>
              <w:t>县城建设提质升级三年行动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项目开展的实际合格验收成果占总验收成果的利率</w:t>
            </w:r>
          </w:p>
        </w:tc>
        <w:tc>
          <w:tcPr>
            <w:tcW w:w="2551" w:type="dxa"/>
            <w:noWrap w:val="0"/>
            <w:vAlign w:val="center"/>
          </w:tcPr>
          <w:p>
            <w:pPr>
              <w:pStyle w:val="18"/>
            </w:pPr>
            <w:r>
              <w:t>100%</w:t>
            </w:r>
          </w:p>
        </w:tc>
        <w:tc>
          <w:tcPr>
            <w:tcW w:w="2268" w:type="dxa"/>
            <w:noWrap w:val="0"/>
            <w:vAlign w:val="center"/>
          </w:tcPr>
          <w:p>
            <w:pPr>
              <w:pStyle w:val="18"/>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更新成果完成时间</w:t>
            </w:r>
          </w:p>
        </w:tc>
        <w:tc>
          <w:tcPr>
            <w:tcW w:w="2551" w:type="dxa"/>
            <w:noWrap w:val="0"/>
            <w:vAlign w:val="center"/>
          </w:tcPr>
          <w:p>
            <w:pPr>
              <w:pStyle w:val="18"/>
            </w:pPr>
            <w:r>
              <w:t>及时</w:t>
            </w:r>
          </w:p>
        </w:tc>
        <w:tc>
          <w:tcPr>
            <w:tcW w:w="2268" w:type="dxa"/>
            <w:noWrap w:val="0"/>
            <w:vAlign w:val="center"/>
          </w:tcPr>
          <w:p>
            <w:pPr>
              <w:pStyle w:val="18"/>
            </w:pPr>
            <w:r>
              <w:t>依照合同工期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单位成本</w:t>
            </w:r>
          </w:p>
        </w:tc>
        <w:tc>
          <w:tcPr>
            <w:tcW w:w="2835" w:type="dxa"/>
            <w:noWrap w:val="0"/>
            <w:vAlign w:val="center"/>
          </w:tcPr>
          <w:p>
            <w:pPr>
              <w:pStyle w:val="18"/>
            </w:pPr>
            <w:r>
              <w:t>每项编制文件的成本</w:t>
            </w:r>
          </w:p>
        </w:tc>
        <w:tc>
          <w:tcPr>
            <w:tcW w:w="2551" w:type="dxa"/>
            <w:noWrap w:val="0"/>
            <w:vAlign w:val="center"/>
          </w:tcPr>
          <w:p>
            <w:pPr>
              <w:pStyle w:val="18"/>
            </w:pPr>
            <w:r>
              <w:t>10万元/项</w:t>
            </w:r>
          </w:p>
        </w:tc>
        <w:tc>
          <w:tcPr>
            <w:tcW w:w="2268" w:type="dxa"/>
            <w:noWrap w:val="0"/>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设计覆盖率</w:t>
            </w:r>
          </w:p>
        </w:tc>
        <w:tc>
          <w:tcPr>
            <w:tcW w:w="2835" w:type="dxa"/>
            <w:noWrap w:val="0"/>
            <w:vAlign w:val="center"/>
          </w:tcPr>
          <w:p>
            <w:pPr>
              <w:pStyle w:val="18"/>
            </w:pPr>
            <w:r>
              <w:t>2项重点地区城市设计面积占总体应设计面积的利率</w:t>
            </w:r>
          </w:p>
        </w:tc>
        <w:tc>
          <w:tcPr>
            <w:tcW w:w="2551" w:type="dxa"/>
            <w:noWrap w:val="0"/>
            <w:vAlign w:val="center"/>
          </w:tcPr>
          <w:p>
            <w:pPr>
              <w:pStyle w:val="18"/>
            </w:pPr>
            <w:r>
              <w:t>100%</w:t>
            </w:r>
          </w:p>
        </w:tc>
        <w:tc>
          <w:tcPr>
            <w:tcW w:w="2268" w:type="dxa"/>
            <w:noWrap w:val="0"/>
            <w:vAlign w:val="center"/>
          </w:tcPr>
          <w:p>
            <w:pPr>
              <w:pStyle w:val="18"/>
            </w:pPr>
            <w:r>
              <w:t>设计报告或者设计图纸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设计使用年限</w:t>
            </w:r>
          </w:p>
        </w:tc>
        <w:tc>
          <w:tcPr>
            <w:tcW w:w="2835" w:type="dxa"/>
            <w:noWrap w:val="0"/>
            <w:vAlign w:val="center"/>
          </w:tcPr>
          <w:p>
            <w:pPr>
              <w:pStyle w:val="18"/>
            </w:pPr>
            <w:r>
              <w:t>2项重点地区城市设计使用年限</w:t>
            </w:r>
          </w:p>
        </w:tc>
        <w:tc>
          <w:tcPr>
            <w:tcW w:w="2551" w:type="dxa"/>
            <w:noWrap w:val="0"/>
            <w:vAlign w:val="center"/>
          </w:tcPr>
          <w:p>
            <w:pPr>
              <w:pStyle w:val="18"/>
            </w:pPr>
            <w:r>
              <w:t>15年</w:t>
            </w:r>
          </w:p>
        </w:tc>
        <w:tc>
          <w:tcPr>
            <w:tcW w:w="2268" w:type="dxa"/>
            <w:noWrap w:val="0"/>
            <w:vAlign w:val="center"/>
          </w:tcPr>
          <w:p>
            <w:pPr>
              <w:pStyle w:val="18"/>
            </w:pPr>
            <w:r>
              <w:t>设计报告或者设计图纸及实际需求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20、不动产一窗受理项目绩效目标表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1.通过建设《大厂县“不动产一窗办理”》工作，解决不动产登记耗时长、办理难问题，全面推进不动产登记便民利民工作。</w:t>
            </w:r>
          </w:p>
          <w:p>
            <w:pPr>
              <w:pStyle w:val="18"/>
            </w:pPr>
            <w:r>
              <w:t>2.保质保量做好《大厂县和“不动产一窗办理”》建设工作，切实解决不动产登记相关问题，更好的做到便民利民。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项目数量</w:t>
            </w:r>
          </w:p>
        </w:tc>
        <w:tc>
          <w:tcPr>
            <w:tcW w:w="2835" w:type="dxa"/>
            <w:noWrap w:val="0"/>
            <w:vAlign w:val="center"/>
          </w:tcPr>
          <w:p>
            <w:pPr>
              <w:pStyle w:val="18"/>
            </w:pPr>
            <w:r>
              <w:t>建设项目数量</w:t>
            </w:r>
          </w:p>
        </w:tc>
        <w:tc>
          <w:tcPr>
            <w:tcW w:w="2551" w:type="dxa"/>
            <w:noWrap w:val="0"/>
            <w:vAlign w:val="center"/>
          </w:tcPr>
          <w:p>
            <w:pPr>
              <w:pStyle w:val="18"/>
            </w:pPr>
            <w:r>
              <w:t>1个</w:t>
            </w:r>
          </w:p>
        </w:tc>
        <w:tc>
          <w:tcPr>
            <w:tcW w:w="2268" w:type="dxa"/>
            <w:noWrap w:val="0"/>
            <w:vAlign w:val="center"/>
          </w:tcPr>
          <w:p>
            <w:pPr>
              <w:pStyle w:val="18"/>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通过率</w:t>
            </w:r>
          </w:p>
        </w:tc>
        <w:tc>
          <w:tcPr>
            <w:tcW w:w="2835" w:type="dxa"/>
            <w:noWrap w:val="0"/>
            <w:vAlign w:val="center"/>
          </w:tcPr>
          <w:p>
            <w:pPr>
              <w:pStyle w:val="18"/>
            </w:pPr>
            <w:r>
              <w:t>保证验收通过</w:t>
            </w:r>
          </w:p>
        </w:tc>
        <w:tc>
          <w:tcPr>
            <w:tcW w:w="2551" w:type="dxa"/>
            <w:noWrap w:val="0"/>
            <w:vAlign w:val="center"/>
          </w:tcPr>
          <w:p>
            <w:pPr>
              <w:pStyle w:val="18"/>
            </w:pPr>
            <w:r>
              <w:t>100%</w:t>
            </w:r>
          </w:p>
        </w:tc>
        <w:tc>
          <w:tcPr>
            <w:tcW w:w="2268" w:type="dxa"/>
            <w:noWrap w:val="0"/>
            <w:vAlign w:val="center"/>
          </w:tcPr>
          <w:p>
            <w:pPr>
              <w:pStyle w:val="18"/>
            </w:pPr>
            <w:r>
              <w:t>项目编号DGZCG-[2021]4号采购合同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项目实施时间</w:t>
            </w:r>
          </w:p>
        </w:tc>
        <w:tc>
          <w:tcPr>
            <w:tcW w:w="2835" w:type="dxa"/>
            <w:noWrap w:val="0"/>
            <w:vAlign w:val="center"/>
          </w:tcPr>
          <w:p>
            <w:pPr>
              <w:pStyle w:val="18"/>
            </w:pPr>
            <w:r>
              <w:t>项目实施时间</w:t>
            </w:r>
          </w:p>
        </w:tc>
        <w:tc>
          <w:tcPr>
            <w:tcW w:w="2551" w:type="dxa"/>
            <w:noWrap w:val="0"/>
            <w:vAlign w:val="center"/>
          </w:tcPr>
          <w:p>
            <w:pPr>
              <w:pStyle w:val="18"/>
            </w:pPr>
            <w:r>
              <w:t>1年</w:t>
            </w:r>
          </w:p>
        </w:tc>
        <w:tc>
          <w:tcPr>
            <w:tcW w:w="2268" w:type="dxa"/>
            <w:noWrap w:val="0"/>
            <w:vAlign w:val="center"/>
          </w:tcPr>
          <w:p>
            <w:pPr>
              <w:pStyle w:val="18"/>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实施费用</w:t>
            </w:r>
          </w:p>
        </w:tc>
        <w:tc>
          <w:tcPr>
            <w:tcW w:w="2835" w:type="dxa"/>
            <w:noWrap w:val="0"/>
            <w:vAlign w:val="center"/>
          </w:tcPr>
          <w:p>
            <w:pPr>
              <w:pStyle w:val="18"/>
            </w:pPr>
            <w:r>
              <w:t>超预算占预算比例</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平台正常使用率</w:t>
            </w:r>
          </w:p>
        </w:tc>
        <w:tc>
          <w:tcPr>
            <w:tcW w:w="2835" w:type="dxa"/>
            <w:noWrap w:val="0"/>
            <w:vAlign w:val="center"/>
          </w:tcPr>
          <w:p>
            <w:pPr>
              <w:pStyle w:val="18"/>
            </w:pPr>
            <w:r>
              <w:t>平台正常使用</w:t>
            </w:r>
          </w:p>
        </w:tc>
        <w:tc>
          <w:tcPr>
            <w:tcW w:w="2551" w:type="dxa"/>
            <w:noWrap w:val="0"/>
            <w:vAlign w:val="center"/>
          </w:tcPr>
          <w:p>
            <w:pPr>
              <w:pStyle w:val="18"/>
            </w:pPr>
            <w:r>
              <w:t>100%</w:t>
            </w:r>
          </w:p>
        </w:tc>
        <w:tc>
          <w:tcPr>
            <w:tcW w:w="2268" w:type="dxa"/>
            <w:noWrap w:val="0"/>
            <w:vAlign w:val="center"/>
          </w:tcPr>
          <w:p>
            <w:pPr>
              <w:pStyle w:val="18"/>
            </w:pPr>
            <w:r>
              <w:t>项目编号DGZCG-[2021]4号采购合同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平台库正常使用时间</w:t>
            </w:r>
          </w:p>
        </w:tc>
        <w:tc>
          <w:tcPr>
            <w:tcW w:w="2835" w:type="dxa"/>
            <w:noWrap w:val="0"/>
            <w:vAlign w:val="center"/>
          </w:tcPr>
          <w:p>
            <w:pPr>
              <w:pStyle w:val="18"/>
            </w:pPr>
            <w:r>
              <w:t>平台库正常使用时间</w:t>
            </w:r>
          </w:p>
        </w:tc>
        <w:tc>
          <w:tcPr>
            <w:tcW w:w="2551" w:type="dxa"/>
            <w:noWrap w:val="0"/>
            <w:vAlign w:val="center"/>
          </w:tcPr>
          <w:p>
            <w:pPr>
              <w:pStyle w:val="18"/>
            </w:pPr>
            <w:r>
              <w:t>1年</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100%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21、测绘费绩效目标表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1.通过对各股室计划工作统计，2022年测绘总面积为719万平方米，保障大厂土地得到有效利用，提升综合利用率。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测量任务完成率</w:t>
            </w:r>
          </w:p>
        </w:tc>
        <w:tc>
          <w:tcPr>
            <w:tcW w:w="2835" w:type="dxa"/>
            <w:noWrap w:val="0"/>
            <w:vAlign w:val="center"/>
          </w:tcPr>
          <w:p>
            <w:pPr>
              <w:pStyle w:val="18"/>
            </w:pPr>
            <w:r>
              <w:t>完成任务占总任务比例</w:t>
            </w:r>
          </w:p>
        </w:tc>
        <w:tc>
          <w:tcPr>
            <w:tcW w:w="2551" w:type="dxa"/>
            <w:noWrap w:val="0"/>
            <w:vAlign w:val="center"/>
          </w:tcPr>
          <w:p>
            <w:pPr>
              <w:pStyle w:val="18"/>
            </w:pPr>
            <w:r>
              <w:t>100百分比</w:t>
            </w:r>
          </w:p>
        </w:tc>
        <w:tc>
          <w:tcPr>
            <w:tcW w:w="2268" w:type="dxa"/>
            <w:noWrap w:val="0"/>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测量任务质量合格率</w:t>
            </w:r>
          </w:p>
        </w:tc>
        <w:tc>
          <w:tcPr>
            <w:tcW w:w="2835" w:type="dxa"/>
            <w:noWrap w:val="0"/>
            <w:vAlign w:val="center"/>
          </w:tcPr>
          <w:p>
            <w:pPr>
              <w:pStyle w:val="18"/>
            </w:pPr>
            <w:r>
              <w:t>任务质量合格的数量占总任务数量的比例</w:t>
            </w:r>
          </w:p>
        </w:tc>
        <w:tc>
          <w:tcPr>
            <w:tcW w:w="2551" w:type="dxa"/>
            <w:noWrap w:val="0"/>
            <w:vAlign w:val="center"/>
          </w:tcPr>
          <w:p>
            <w:pPr>
              <w:pStyle w:val="18"/>
            </w:pPr>
            <w:r>
              <w:t>100百分比</w:t>
            </w:r>
          </w:p>
        </w:tc>
        <w:tc>
          <w:tcPr>
            <w:tcW w:w="2268" w:type="dxa"/>
            <w:noWrap w:val="0"/>
            <w:vAlign w:val="center"/>
          </w:tcPr>
          <w:p>
            <w:pPr>
              <w:pStyle w:val="18"/>
            </w:pPr>
            <w:r>
              <w:t>相关工作总结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任务完成及时性</w:t>
            </w:r>
          </w:p>
        </w:tc>
        <w:tc>
          <w:tcPr>
            <w:tcW w:w="2835" w:type="dxa"/>
            <w:noWrap w:val="0"/>
            <w:vAlign w:val="center"/>
          </w:tcPr>
          <w:p>
            <w:pPr>
              <w:pStyle w:val="18"/>
            </w:pPr>
            <w:r>
              <w:t>任务完成及时性</w:t>
            </w:r>
          </w:p>
        </w:tc>
        <w:tc>
          <w:tcPr>
            <w:tcW w:w="2551" w:type="dxa"/>
            <w:noWrap w:val="0"/>
            <w:vAlign w:val="center"/>
          </w:tcPr>
          <w:p>
            <w:pPr>
              <w:pStyle w:val="18"/>
            </w:pPr>
            <w:r>
              <w:t>1年</w:t>
            </w:r>
          </w:p>
        </w:tc>
        <w:tc>
          <w:tcPr>
            <w:tcW w:w="2268" w:type="dxa"/>
            <w:noWrap w:val="0"/>
            <w:vAlign w:val="center"/>
          </w:tcPr>
          <w:p>
            <w:pPr>
              <w:pStyle w:val="18"/>
            </w:pPr>
            <w:r>
              <w:t>实际测绘情况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测量单位成本</w:t>
            </w:r>
          </w:p>
        </w:tc>
        <w:tc>
          <w:tcPr>
            <w:tcW w:w="2835" w:type="dxa"/>
            <w:noWrap w:val="0"/>
            <w:vAlign w:val="center"/>
          </w:tcPr>
          <w:p>
            <w:pPr>
              <w:pStyle w:val="18"/>
            </w:pPr>
            <w:r>
              <w:t>每平米测量成本</w:t>
            </w:r>
          </w:p>
        </w:tc>
        <w:tc>
          <w:tcPr>
            <w:tcW w:w="2551" w:type="dxa"/>
            <w:noWrap w:val="0"/>
            <w:vAlign w:val="center"/>
          </w:tcPr>
          <w:p>
            <w:pPr>
              <w:pStyle w:val="18"/>
            </w:pPr>
            <w:r>
              <w:t>0.29元/平米</w:t>
            </w:r>
          </w:p>
        </w:tc>
        <w:tc>
          <w:tcPr>
            <w:tcW w:w="2268" w:type="dxa"/>
            <w:noWrap w:val="0"/>
            <w:vAlign w:val="center"/>
          </w:tcPr>
          <w:p>
            <w:pPr>
              <w:pStyle w:val="18"/>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成果采纳率</w:t>
            </w:r>
          </w:p>
        </w:tc>
        <w:tc>
          <w:tcPr>
            <w:tcW w:w="2835" w:type="dxa"/>
            <w:noWrap w:val="0"/>
            <w:vAlign w:val="center"/>
          </w:tcPr>
          <w:p>
            <w:pPr>
              <w:pStyle w:val="18"/>
            </w:pPr>
            <w:r>
              <w:t>成果采纳率</w:t>
            </w:r>
          </w:p>
        </w:tc>
        <w:tc>
          <w:tcPr>
            <w:tcW w:w="2551" w:type="dxa"/>
            <w:noWrap w:val="0"/>
            <w:vAlign w:val="center"/>
          </w:tcPr>
          <w:p>
            <w:pPr>
              <w:pStyle w:val="18"/>
            </w:pPr>
            <w:r>
              <w:t>100百分比</w:t>
            </w:r>
          </w:p>
        </w:tc>
        <w:tc>
          <w:tcPr>
            <w:tcW w:w="2268" w:type="dxa"/>
            <w:noWrap w:val="0"/>
            <w:vAlign w:val="center"/>
          </w:tcPr>
          <w:p>
            <w:pPr>
              <w:pStyle w:val="18"/>
            </w:pPr>
            <w:r>
              <w:t>测绘质量验收情况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测绘时间间隔</w:t>
            </w:r>
          </w:p>
        </w:tc>
        <w:tc>
          <w:tcPr>
            <w:tcW w:w="2835" w:type="dxa"/>
            <w:noWrap w:val="0"/>
            <w:vAlign w:val="center"/>
          </w:tcPr>
          <w:p>
            <w:pPr>
              <w:pStyle w:val="18"/>
            </w:pPr>
            <w:r>
              <w:t>每地块的测绘时间间隔</w:t>
            </w:r>
          </w:p>
        </w:tc>
        <w:tc>
          <w:tcPr>
            <w:tcW w:w="2551" w:type="dxa"/>
            <w:noWrap w:val="0"/>
            <w:vAlign w:val="center"/>
          </w:tcPr>
          <w:p>
            <w:pPr>
              <w:pStyle w:val="18"/>
            </w:pPr>
            <w:r>
              <w:t>≥1年</w:t>
            </w:r>
          </w:p>
        </w:tc>
        <w:tc>
          <w:tcPr>
            <w:tcW w:w="2268" w:type="dxa"/>
            <w:noWrap w:val="0"/>
            <w:vAlign w:val="center"/>
          </w:tcPr>
          <w:p>
            <w:pPr>
              <w:pStyle w:val="18"/>
            </w:pPr>
            <w:r>
              <w:t>实际测绘需要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服务对象满意度指标</w:t>
            </w:r>
          </w:p>
        </w:tc>
        <w:tc>
          <w:tcPr>
            <w:tcW w:w="2835" w:type="dxa"/>
            <w:noWrap w:val="0"/>
            <w:vAlign w:val="center"/>
          </w:tcPr>
          <w:p>
            <w:pPr>
              <w:pStyle w:val="18"/>
            </w:pPr>
            <w:r>
              <w:t>服务对象对测绘项目的满意度</w:t>
            </w:r>
          </w:p>
        </w:tc>
        <w:tc>
          <w:tcPr>
            <w:tcW w:w="2551" w:type="dxa"/>
            <w:noWrap w:val="0"/>
            <w:vAlign w:val="center"/>
          </w:tcPr>
          <w:p>
            <w:pPr>
              <w:pStyle w:val="18"/>
            </w:pPr>
            <w:r>
              <w:t>≥90%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22、创建森林城市资金绩效目标表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1.通过绿加紧落实《河北省大厂回族自治县国家森林城市建设总体规划（2020-2029）》，创建国家森林城市。</w:t>
            </w:r>
          </w:p>
          <w:p>
            <w:pPr>
              <w:pStyle w:val="18"/>
            </w:pPr>
            <w:r>
              <w:t>2.从根本上改善生态环境，更可以直接推动大厂县建设具有竞争力的知名旅游目的地，依靠其独特的地理位置，吸引北京及周边游客前来旅游观光，购物消费，带来直接旅游收入，创造经济效益。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生态科普教育场所</w:t>
            </w:r>
          </w:p>
        </w:tc>
        <w:tc>
          <w:tcPr>
            <w:tcW w:w="2835" w:type="dxa"/>
            <w:noWrap w:val="0"/>
            <w:vAlign w:val="center"/>
          </w:tcPr>
          <w:p>
            <w:pPr>
              <w:pStyle w:val="18"/>
            </w:pPr>
            <w:r>
              <w:t>生态科普教育场所改造提升工程</w:t>
            </w:r>
          </w:p>
        </w:tc>
        <w:tc>
          <w:tcPr>
            <w:tcW w:w="2551" w:type="dxa"/>
            <w:noWrap w:val="0"/>
            <w:vAlign w:val="center"/>
          </w:tcPr>
          <w:p>
            <w:pPr>
              <w:pStyle w:val="18"/>
            </w:pPr>
            <w:r>
              <w:t>≥2处</w:t>
            </w:r>
          </w:p>
        </w:tc>
        <w:tc>
          <w:tcPr>
            <w:tcW w:w="2268" w:type="dxa"/>
            <w:noWrap w:val="0"/>
            <w:vAlign w:val="center"/>
          </w:tcPr>
          <w:p>
            <w:pPr>
              <w:pStyle w:val="18"/>
            </w:pPr>
            <w:r>
              <w:t>《国家森林城市评价指标》创建标准和《河北省大厂回族自治县国家森林城市建设总体规划（2020—2029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生态标识系统场所</w:t>
            </w:r>
          </w:p>
        </w:tc>
        <w:tc>
          <w:tcPr>
            <w:tcW w:w="2835" w:type="dxa"/>
            <w:noWrap w:val="0"/>
            <w:vAlign w:val="center"/>
          </w:tcPr>
          <w:p>
            <w:pPr>
              <w:pStyle w:val="18"/>
            </w:pPr>
            <w:r>
              <w:t>生态表示体统场所提升</w:t>
            </w:r>
          </w:p>
        </w:tc>
        <w:tc>
          <w:tcPr>
            <w:tcW w:w="2551" w:type="dxa"/>
            <w:noWrap w:val="0"/>
            <w:vAlign w:val="center"/>
          </w:tcPr>
          <w:p>
            <w:pPr>
              <w:pStyle w:val="18"/>
            </w:pPr>
            <w:r>
              <w:t>≥1处</w:t>
            </w:r>
          </w:p>
        </w:tc>
        <w:tc>
          <w:tcPr>
            <w:tcW w:w="2268" w:type="dxa"/>
            <w:noWrap w:val="0"/>
            <w:vAlign w:val="center"/>
          </w:tcPr>
          <w:p>
            <w:pPr>
              <w:pStyle w:val="18"/>
            </w:pPr>
            <w:r>
              <w:t>《国家森林城市评价指标》创建标准和《河北省大厂回族自治县国家森林城市建设总体规划（2020—2029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大型广告宣传牌</w:t>
            </w:r>
          </w:p>
        </w:tc>
        <w:tc>
          <w:tcPr>
            <w:tcW w:w="2835" w:type="dxa"/>
            <w:noWrap w:val="0"/>
            <w:vAlign w:val="center"/>
          </w:tcPr>
          <w:p>
            <w:pPr>
              <w:pStyle w:val="18"/>
            </w:pPr>
            <w:r>
              <w:t>高速、县界等处大型广告宣传牌</w:t>
            </w:r>
          </w:p>
        </w:tc>
        <w:tc>
          <w:tcPr>
            <w:tcW w:w="2551" w:type="dxa"/>
            <w:noWrap w:val="0"/>
            <w:vAlign w:val="center"/>
          </w:tcPr>
          <w:p>
            <w:pPr>
              <w:pStyle w:val="18"/>
            </w:pPr>
            <w:r>
              <w:t>≥1面</w:t>
            </w:r>
          </w:p>
        </w:tc>
        <w:tc>
          <w:tcPr>
            <w:tcW w:w="2268" w:type="dxa"/>
            <w:noWrap w:val="0"/>
            <w:vAlign w:val="center"/>
          </w:tcPr>
          <w:p>
            <w:pPr>
              <w:pStyle w:val="18"/>
            </w:pPr>
            <w:r>
              <w:t>《国家森林城市评价指标》创建标准和《河北省大厂回族自治县国家森林城市建设总体规划（2020—2029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宣传品</w:t>
            </w:r>
          </w:p>
        </w:tc>
        <w:tc>
          <w:tcPr>
            <w:tcW w:w="2835" w:type="dxa"/>
            <w:noWrap w:val="0"/>
            <w:vAlign w:val="center"/>
          </w:tcPr>
          <w:p>
            <w:pPr>
              <w:pStyle w:val="18"/>
            </w:pPr>
            <w:r>
              <w:t>创森宣传册、折页、手袋等宣传品</w:t>
            </w:r>
          </w:p>
        </w:tc>
        <w:tc>
          <w:tcPr>
            <w:tcW w:w="2551" w:type="dxa"/>
            <w:noWrap w:val="0"/>
            <w:vAlign w:val="center"/>
          </w:tcPr>
          <w:p>
            <w:pPr>
              <w:pStyle w:val="18"/>
            </w:pPr>
            <w:r>
              <w:t>≥10000件</w:t>
            </w:r>
          </w:p>
        </w:tc>
        <w:tc>
          <w:tcPr>
            <w:tcW w:w="2268" w:type="dxa"/>
            <w:noWrap w:val="0"/>
            <w:vAlign w:val="center"/>
          </w:tcPr>
          <w:p>
            <w:pPr>
              <w:pStyle w:val="18"/>
            </w:pPr>
            <w:r>
              <w:t>《国家森林城市评价指标》创建标准和《河北省大厂回族自治县国家森林城市建设总体规划（2020—2029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森林城市达标率</w:t>
            </w:r>
          </w:p>
        </w:tc>
        <w:tc>
          <w:tcPr>
            <w:tcW w:w="2835" w:type="dxa"/>
            <w:noWrap w:val="0"/>
            <w:vAlign w:val="center"/>
          </w:tcPr>
          <w:p>
            <w:pPr>
              <w:pStyle w:val="18"/>
            </w:pPr>
            <w:r>
              <w:t>通过创建达到森林城市标准的比例</w:t>
            </w:r>
          </w:p>
        </w:tc>
        <w:tc>
          <w:tcPr>
            <w:tcW w:w="2551" w:type="dxa"/>
            <w:noWrap w:val="0"/>
            <w:vAlign w:val="center"/>
          </w:tcPr>
          <w:p>
            <w:pPr>
              <w:pStyle w:val="18"/>
            </w:pPr>
            <w:r>
              <w:t>≥95%</w:t>
            </w:r>
          </w:p>
        </w:tc>
        <w:tc>
          <w:tcPr>
            <w:tcW w:w="2268" w:type="dxa"/>
            <w:noWrap w:val="0"/>
            <w:vAlign w:val="center"/>
          </w:tcPr>
          <w:p>
            <w:pPr>
              <w:pStyle w:val="18"/>
            </w:pPr>
            <w:r>
              <w:t>《国家森林城市评价指标》创建标准和《河北省大厂回族自治县国家森林城市建设总体规划（2020—2029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各类创建活动、工程完成时间</w:t>
            </w:r>
          </w:p>
        </w:tc>
        <w:tc>
          <w:tcPr>
            <w:tcW w:w="2551" w:type="dxa"/>
            <w:noWrap w:val="0"/>
            <w:vAlign w:val="center"/>
          </w:tcPr>
          <w:p>
            <w:pPr>
              <w:pStyle w:val="18"/>
            </w:pPr>
            <w:r>
              <w:t>12月</w:t>
            </w:r>
          </w:p>
        </w:tc>
        <w:tc>
          <w:tcPr>
            <w:tcW w:w="2268" w:type="dxa"/>
            <w:noWrap w:val="0"/>
            <w:vAlign w:val="center"/>
          </w:tcPr>
          <w:p>
            <w:pPr>
              <w:pStyle w:val="18"/>
            </w:pPr>
            <w:r>
              <w:t>《国家森林城市评价指标》创建标准和《河北省大厂回族自治县国家森林城市建设总体规划（2020—2029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超预算数占总预算比例</w:t>
            </w:r>
          </w:p>
        </w:tc>
        <w:tc>
          <w:tcPr>
            <w:tcW w:w="2835" w:type="dxa"/>
            <w:noWrap w:val="0"/>
            <w:vAlign w:val="center"/>
          </w:tcPr>
          <w:p>
            <w:pPr>
              <w:pStyle w:val="18"/>
            </w:pPr>
            <w:r>
              <w:t>2022年度创建森林城市总费用</w:t>
            </w:r>
          </w:p>
        </w:tc>
        <w:tc>
          <w:tcPr>
            <w:tcW w:w="2551" w:type="dxa"/>
            <w:noWrap w:val="0"/>
            <w:vAlign w:val="center"/>
          </w:tcPr>
          <w:p>
            <w:pPr>
              <w:pStyle w:val="18"/>
            </w:pPr>
            <w:r>
              <w:t>≤10%</w:t>
            </w:r>
          </w:p>
        </w:tc>
        <w:tc>
          <w:tcPr>
            <w:tcW w:w="2268" w:type="dxa"/>
            <w:noWrap w:val="0"/>
            <w:vAlign w:val="center"/>
          </w:tcPr>
          <w:p>
            <w:pPr>
              <w:pStyle w:val="18"/>
            </w:pPr>
            <w:r>
              <w:t>《国家森林城市评价指标》创建标准和《河北省大厂回族自治县国家森林城市建设总体规划（2020—2029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群众知晓率</w:t>
            </w:r>
          </w:p>
        </w:tc>
        <w:tc>
          <w:tcPr>
            <w:tcW w:w="2835" w:type="dxa"/>
            <w:noWrap w:val="0"/>
            <w:vAlign w:val="center"/>
          </w:tcPr>
          <w:p>
            <w:pPr>
              <w:pStyle w:val="18"/>
            </w:pPr>
            <w:r>
              <w:t>群众对创建森林城市的认识、参与程度</w:t>
            </w:r>
          </w:p>
        </w:tc>
        <w:tc>
          <w:tcPr>
            <w:tcW w:w="2551" w:type="dxa"/>
            <w:noWrap w:val="0"/>
            <w:vAlign w:val="center"/>
          </w:tcPr>
          <w:p>
            <w:pPr>
              <w:pStyle w:val="18"/>
            </w:pPr>
            <w:r>
              <w:t>≥90%</w:t>
            </w:r>
          </w:p>
        </w:tc>
        <w:tc>
          <w:tcPr>
            <w:tcW w:w="2268" w:type="dxa"/>
            <w:noWrap w:val="0"/>
            <w:vAlign w:val="center"/>
          </w:tcPr>
          <w:p>
            <w:pPr>
              <w:pStyle w:val="18"/>
            </w:pPr>
            <w:r>
              <w:t>《国家森林城市评价指标》创建标准和《河北省大厂回族自治县国家森林城市建设总体规划（2020—2029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影响期限</w:t>
            </w:r>
          </w:p>
        </w:tc>
        <w:tc>
          <w:tcPr>
            <w:tcW w:w="2835" w:type="dxa"/>
            <w:noWrap w:val="0"/>
            <w:vAlign w:val="center"/>
          </w:tcPr>
          <w:p>
            <w:pPr>
              <w:pStyle w:val="18"/>
            </w:pPr>
            <w:r>
              <w:t>持续发挥作用期限</w:t>
            </w:r>
          </w:p>
        </w:tc>
        <w:tc>
          <w:tcPr>
            <w:tcW w:w="2551" w:type="dxa"/>
            <w:noWrap w:val="0"/>
            <w:vAlign w:val="center"/>
          </w:tcPr>
          <w:p>
            <w:pPr>
              <w:pStyle w:val="18"/>
            </w:pPr>
            <w:r>
              <w:t>≥1年</w:t>
            </w:r>
          </w:p>
        </w:tc>
        <w:tc>
          <w:tcPr>
            <w:tcW w:w="2268" w:type="dxa"/>
            <w:noWrap w:val="0"/>
            <w:vAlign w:val="center"/>
          </w:tcPr>
          <w:p>
            <w:pPr>
              <w:pStyle w:val="18"/>
            </w:pPr>
            <w:r>
              <w:t>《国家森林城市评价指标》创建标准和《河北省大厂回族自治县国家森林城市建设总体规划（2020—2029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群众满意度</w:t>
            </w:r>
          </w:p>
        </w:tc>
        <w:tc>
          <w:tcPr>
            <w:tcW w:w="2835" w:type="dxa"/>
            <w:noWrap w:val="0"/>
            <w:vAlign w:val="center"/>
          </w:tcPr>
          <w:p>
            <w:pPr>
              <w:pStyle w:val="18"/>
            </w:pPr>
            <w:r>
              <w:t>市民对创建森林城市活动的认识、参与和满意度</w:t>
            </w:r>
          </w:p>
        </w:tc>
        <w:tc>
          <w:tcPr>
            <w:tcW w:w="2551" w:type="dxa"/>
            <w:noWrap w:val="0"/>
            <w:vAlign w:val="center"/>
          </w:tcPr>
          <w:p>
            <w:pPr>
              <w:pStyle w:val="18"/>
            </w:pPr>
            <w:r>
              <w:t>≥90％</w:t>
            </w:r>
          </w:p>
        </w:tc>
        <w:tc>
          <w:tcPr>
            <w:tcW w:w="2268" w:type="dxa"/>
            <w:noWrap w:val="0"/>
            <w:vAlign w:val="center"/>
          </w:tcPr>
          <w:p>
            <w:pPr>
              <w:pStyle w:val="18"/>
            </w:pPr>
            <w:r>
              <w:t>《国家森林城市评价指标》创建标准和《河北省大厂回族自治县国家森林城市建设总体规划（2020—2029 年）》</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23、大厂回族自治县标定地价体系建设经费绩效目标表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落实大厂回族自治县标定地价体系建设工作，实现规范土地市场价值参考标准，丰富和完善地价管理工具，更好地发挥市场在资源配置中的决定性作用和政府调控引导职能，满足公众信息需求等目标。</w:t>
            </w:r>
          </w:p>
          <w:p>
            <w:pPr>
              <w:pStyle w:val="18"/>
            </w:pPr>
            <w:r>
              <w:t>2.通过本项目的开展，完成大厂回族自治县城区商业、工业、住宅等各用途标定区域划定、标准宗地选取及评估，形成大厂回族自治县标定地价评估报告及标定地价体系建设报告成果、表格成果、图件成果、数据库成果及标定地价管理信息系统，建立大厂回族自治县标定地价体系，实现丰富和完善大厂回族自治县地价管理工具，规范土地市场参考标准，为政府、土地管理部门制定地价管理政策提供参考依据，满足公众信息需求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土地评估完成率</w:t>
            </w:r>
          </w:p>
        </w:tc>
        <w:tc>
          <w:tcPr>
            <w:tcW w:w="2835" w:type="dxa"/>
            <w:noWrap w:val="0"/>
            <w:vAlign w:val="center"/>
          </w:tcPr>
          <w:p>
            <w:pPr>
              <w:pStyle w:val="18"/>
            </w:pPr>
            <w:r>
              <w:t>土地评估完成面积与应评估面积的比例</w:t>
            </w:r>
          </w:p>
        </w:tc>
        <w:tc>
          <w:tcPr>
            <w:tcW w:w="2551" w:type="dxa"/>
            <w:noWrap w:val="0"/>
            <w:vAlign w:val="center"/>
          </w:tcPr>
          <w:p>
            <w:pPr>
              <w:pStyle w:val="18"/>
            </w:pPr>
            <w:r>
              <w:t>100%</w:t>
            </w:r>
          </w:p>
        </w:tc>
        <w:tc>
          <w:tcPr>
            <w:tcW w:w="2268" w:type="dxa"/>
            <w:noWrap w:val="0"/>
            <w:vAlign w:val="center"/>
          </w:tcPr>
          <w:p>
            <w:pPr>
              <w:pStyle w:val="18"/>
            </w:pPr>
            <w:r>
              <w:t>《河北省自然资源厅关于部署开展 2019 年度自然资源评价评估工作的通知》（冀自然资字〔2019〕80号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成果质检合格率</w:t>
            </w:r>
          </w:p>
        </w:tc>
        <w:tc>
          <w:tcPr>
            <w:tcW w:w="2835" w:type="dxa"/>
            <w:noWrap w:val="0"/>
            <w:vAlign w:val="center"/>
          </w:tcPr>
          <w:p>
            <w:pPr>
              <w:pStyle w:val="18"/>
            </w:pPr>
            <w:r>
              <w:t>成果质检合格率</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完成及时率</w:t>
            </w:r>
          </w:p>
        </w:tc>
        <w:tc>
          <w:tcPr>
            <w:tcW w:w="2835" w:type="dxa"/>
            <w:noWrap w:val="0"/>
            <w:vAlign w:val="center"/>
          </w:tcPr>
          <w:p>
            <w:pPr>
              <w:pStyle w:val="18"/>
            </w:pPr>
            <w:r>
              <w:t>在规定的时间节点内完成</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土地利用提升率</w:t>
            </w:r>
          </w:p>
        </w:tc>
        <w:tc>
          <w:tcPr>
            <w:tcW w:w="2835" w:type="dxa"/>
            <w:noWrap w:val="0"/>
            <w:vAlign w:val="center"/>
          </w:tcPr>
          <w:p>
            <w:pPr>
              <w:pStyle w:val="18"/>
            </w:pPr>
            <w:r>
              <w:t>土地利用提升情况</w:t>
            </w:r>
          </w:p>
        </w:tc>
        <w:tc>
          <w:tcPr>
            <w:tcW w:w="2551" w:type="dxa"/>
            <w:noWrap w:val="0"/>
            <w:vAlign w:val="center"/>
          </w:tcPr>
          <w:p>
            <w:pPr>
              <w:pStyle w:val="18"/>
            </w:pPr>
            <w:r>
              <w:t>10%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维护大厂回族自治县标定地价体系年限</w:t>
            </w:r>
          </w:p>
        </w:tc>
        <w:tc>
          <w:tcPr>
            <w:tcW w:w="2835" w:type="dxa"/>
            <w:noWrap w:val="0"/>
            <w:vAlign w:val="center"/>
          </w:tcPr>
          <w:p>
            <w:pPr>
              <w:pStyle w:val="18"/>
            </w:pPr>
            <w:r>
              <w:t>维护大厂回族自治县标定地价体系年限</w:t>
            </w:r>
          </w:p>
        </w:tc>
        <w:tc>
          <w:tcPr>
            <w:tcW w:w="2551" w:type="dxa"/>
            <w:noWrap w:val="0"/>
            <w:vAlign w:val="center"/>
          </w:tcPr>
          <w:p>
            <w:pPr>
              <w:pStyle w:val="18"/>
            </w:pPr>
            <w:r>
              <w:t>≥1年</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受益对象满意度</w:t>
            </w:r>
          </w:p>
        </w:tc>
        <w:tc>
          <w:tcPr>
            <w:tcW w:w="2835" w:type="dxa"/>
            <w:noWrap w:val="0"/>
            <w:vAlign w:val="center"/>
          </w:tcPr>
          <w:p>
            <w:pPr>
              <w:pStyle w:val="18"/>
            </w:pPr>
            <w:r>
              <w:t>调查中满意和较满意的人数占调研总人数的比率</w:t>
            </w:r>
          </w:p>
        </w:tc>
        <w:tc>
          <w:tcPr>
            <w:tcW w:w="2551" w:type="dxa"/>
            <w:noWrap w:val="0"/>
            <w:vAlign w:val="center"/>
          </w:tcPr>
          <w:p>
            <w:pPr>
              <w:pStyle w:val="18"/>
            </w:pPr>
            <w:r>
              <w:t>≥95%</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24、大厂回族自治县不动产统一登记管理平台数据维护项目（2022）绩效目标表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1.通过驻场技术服务支持，维护不动产数据库，保证登记管理平台日常正常使用。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平台数量</w:t>
            </w:r>
          </w:p>
        </w:tc>
        <w:tc>
          <w:tcPr>
            <w:tcW w:w="2835" w:type="dxa"/>
            <w:noWrap w:val="0"/>
            <w:vAlign w:val="center"/>
          </w:tcPr>
          <w:p>
            <w:pPr>
              <w:pStyle w:val="18"/>
            </w:pPr>
            <w:r>
              <w:t>登记平台数量</w:t>
            </w:r>
          </w:p>
        </w:tc>
        <w:tc>
          <w:tcPr>
            <w:tcW w:w="2551" w:type="dxa"/>
            <w:noWrap w:val="0"/>
            <w:vAlign w:val="center"/>
          </w:tcPr>
          <w:p>
            <w:pPr>
              <w:pStyle w:val="18"/>
            </w:pPr>
            <w:r>
              <w:t>1个</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正常运转率</w:t>
            </w:r>
          </w:p>
        </w:tc>
        <w:tc>
          <w:tcPr>
            <w:tcW w:w="2835" w:type="dxa"/>
            <w:noWrap w:val="0"/>
            <w:vAlign w:val="center"/>
          </w:tcPr>
          <w:p>
            <w:pPr>
              <w:pStyle w:val="18"/>
            </w:pPr>
            <w:r>
              <w:t>正常运转天数/365</w:t>
            </w:r>
          </w:p>
        </w:tc>
        <w:tc>
          <w:tcPr>
            <w:tcW w:w="2551" w:type="dxa"/>
            <w:noWrap w:val="0"/>
            <w:vAlign w:val="center"/>
          </w:tcPr>
          <w:p>
            <w:pPr>
              <w:pStyle w:val="18"/>
            </w:pPr>
            <w:r>
              <w:t>100%</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维护时间</w:t>
            </w:r>
          </w:p>
        </w:tc>
        <w:tc>
          <w:tcPr>
            <w:tcW w:w="2835" w:type="dxa"/>
            <w:noWrap w:val="0"/>
            <w:vAlign w:val="center"/>
          </w:tcPr>
          <w:p>
            <w:pPr>
              <w:pStyle w:val="18"/>
            </w:pPr>
            <w:r>
              <w:t>维护期</w:t>
            </w:r>
          </w:p>
        </w:tc>
        <w:tc>
          <w:tcPr>
            <w:tcW w:w="2551" w:type="dxa"/>
            <w:noWrap w:val="0"/>
            <w:vAlign w:val="center"/>
          </w:tcPr>
          <w:p>
            <w:pPr>
              <w:pStyle w:val="18"/>
            </w:pPr>
            <w:r>
              <w:t>1年</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平台维护所需费用</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正常使用率</w:t>
            </w:r>
          </w:p>
        </w:tc>
        <w:tc>
          <w:tcPr>
            <w:tcW w:w="2835" w:type="dxa"/>
            <w:noWrap w:val="0"/>
            <w:vAlign w:val="center"/>
          </w:tcPr>
          <w:p>
            <w:pPr>
              <w:pStyle w:val="18"/>
            </w:pPr>
            <w:r>
              <w:t>是否正常使用</w:t>
            </w:r>
          </w:p>
        </w:tc>
        <w:tc>
          <w:tcPr>
            <w:tcW w:w="2551" w:type="dxa"/>
            <w:noWrap w:val="0"/>
            <w:vAlign w:val="center"/>
          </w:tcPr>
          <w:p>
            <w:pPr>
              <w:pStyle w:val="18"/>
            </w:pPr>
            <w:r>
              <w:t>100%</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使用时间</w:t>
            </w:r>
          </w:p>
        </w:tc>
        <w:tc>
          <w:tcPr>
            <w:tcW w:w="2835" w:type="dxa"/>
            <w:noWrap w:val="0"/>
            <w:vAlign w:val="center"/>
          </w:tcPr>
          <w:p>
            <w:pPr>
              <w:pStyle w:val="18"/>
            </w:pPr>
            <w:r>
              <w:t>正常使用时间</w:t>
            </w:r>
          </w:p>
        </w:tc>
        <w:tc>
          <w:tcPr>
            <w:tcW w:w="2551" w:type="dxa"/>
            <w:noWrap w:val="0"/>
            <w:vAlign w:val="center"/>
          </w:tcPr>
          <w:p>
            <w:pPr>
              <w:pStyle w:val="18"/>
            </w:pPr>
            <w:r>
              <w:t>1年</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100%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25、大厂回族自治县国有土地划拨、出让底价评估资金绩效目标表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1.通过项目的开展实现国有土地按计划、按程序依法依规公开划拨、出让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评估完成率</w:t>
            </w:r>
          </w:p>
        </w:tc>
        <w:tc>
          <w:tcPr>
            <w:tcW w:w="2835" w:type="dxa"/>
            <w:noWrap w:val="0"/>
            <w:vAlign w:val="center"/>
          </w:tcPr>
          <w:p>
            <w:pPr>
              <w:pStyle w:val="18"/>
            </w:pPr>
            <w:r>
              <w:t>实际评估数量占应评估数量的比率</w:t>
            </w:r>
          </w:p>
        </w:tc>
        <w:tc>
          <w:tcPr>
            <w:tcW w:w="2551" w:type="dxa"/>
            <w:noWrap w:val="0"/>
            <w:vAlign w:val="center"/>
          </w:tcPr>
          <w:p>
            <w:pPr>
              <w:pStyle w:val="18"/>
            </w:pPr>
            <w:r>
              <w:t>100%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验收合格的数量占评估总数量的比例</w:t>
            </w:r>
          </w:p>
        </w:tc>
        <w:tc>
          <w:tcPr>
            <w:tcW w:w="2551" w:type="dxa"/>
            <w:noWrap w:val="0"/>
            <w:vAlign w:val="center"/>
          </w:tcPr>
          <w:p>
            <w:pPr>
              <w:pStyle w:val="18"/>
            </w:pPr>
            <w:r>
              <w:t>100%</w:t>
            </w:r>
          </w:p>
        </w:tc>
        <w:tc>
          <w:tcPr>
            <w:tcW w:w="2268"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完成及时性</w:t>
            </w:r>
          </w:p>
        </w:tc>
        <w:tc>
          <w:tcPr>
            <w:tcW w:w="2835" w:type="dxa"/>
            <w:noWrap w:val="0"/>
            <w:vAlign w:val="center"/>
          </w:tcPr>
          <w:p>
            <w:pPr>
              <w:pStyle w:val="18"/>
            </w:pPr>
            <w:r>
              <w:t>按照文件要求或工作计划及时完成评估工作</w:t>
            </w:r>
          </w:p>
        </w:tc>
        <w:tc>
          <w:tcPr>
            <w:tcW w:w="2551" w:type="dxa"/>
            <w:noWrap w:val="0"/>
            <w:vAlign w:val="center"/>
          </w:tcPr>
          <w:p>
            <w:pPr>
              <w:pStyle w:val="18"/>
            </w:pPr>
            <w:r>
              <w:t>及时</w:t>
            </w:r>
          </w:p>
        </w:tc>
        <w:tc>
          <w:tcPr>
            <w:tcW w:w="2268"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技术支持准确率</w:t>
            </w:r>
          </w:p>
        </w:tc>
        <w:tc>
          <w:tcPr>
            <w:tcW w:w="2835" w:type="dxa"/>
            <w:noWrap w:val="0"/>
            <w:vAlign w:val="center"/>
          </w:tcPr>
          <w:p>
            <w:pPr>
              <w:pStyle w:val="18"/>
            </w:pPr>
            <w:r>
              <w:t>国有建设用地供应提供技术支持的准确性</w:t>
            </w:r>
          </w:p>
        </w:tc>
        <w:tc>
          <w:tcPr>
            <w:tcW w:w="2551" w:type="dxa"/>
            <w:noWrap w:val="0"/>
            <w:vAlign w:val="center"/>
          </w:tcPr>
          <w:p>
            <w:pPr>
              <w:pStyle w:val="18"/>
            </w:pPr>
            <w:r>
              <w:t>100%</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土地评估持续有效时间</w:t>
            </w:r>
          </w:p>
        </w:tc>
        <w:tc>
          <w:tcPr>
            <w:tcW w:w="2835" w:type="dxa"/>
            <w:noWrap w:val="0"/>
            <w:vAlign w:val="center"/>
          </w:tcPr>
          <w:p>
            <w:pPr>
              <w:pStyle w:val="18"/>
            </w:pPr>
            <w:r>
              <w:t>土地评估结果的有效利用时限</w:t>
            </w:r>
          </w:p>
        </w:tc>
        <w:tc>
          <w:tcPr>
            <w:tcW w:w="2551" w:type="dxa"/>
            <w:noWrap w:val="0"/>
            <w:vAlign w:val="center"/>
          </w:tcPr>
          <w:p>
            <w:pPr>
              <w:pStyle w:val="18"/>
            </w:pPr>
            <w:r>
              <w:t>1年</w:t>
            </w:r>
          </w:p>
        </w:tc>
        <w:tc>
          <w:tcPr>
            <w:tcW w:w="2268" w:type="dxa"/>
            <w:noWrap w:val="0"/>
            <w:vAlign w:val="center"/>
          </w:tcPr>
          <w:p>
            <w:pPr>
              <w:pStyle w:val="18"/>
            </w:pPr>
            <w:r>
              <w:t>相关文件及法规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服务对象对土地评估项目的满意度</w:t>
            </w:r>
          </w:p>
        </w:tc>
        <w:tc>
          <w:tcPr>
            <w:tcW w:w="2551" w:type="dxa"/>
            <w:noWrap w:val="0"/>
            <w:vAlign w:val="center"/>
          </w:tcPr>
          <w:p>
            <w:pPr>
              <w:pStyle w:val="18"/>
            </w:pPr>
            <w:r>
              <w:t>≥90%</w:t>
            </w:r>
          </w:p>
        </w:tc>
        <w:tc>
          <w:tcPr>
            <w:tcW w:w="2268" w:type="dxa"/>
            <w:noWrap w:val="0"/>
            <w:vAlign w:val="center"/>
          </w:tcPr>
          <w:p>
            <w:pPr>
              <w:pStyle w:val="18"/>
            </w:pPr>
            <w:r>
              <w:t>根据下发的通报、批评记录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26、大厂回族自治县祁各庄镇和邵府镇产能提升项目绩效目标表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1.通过项目的开展，提高农业产业化水平，确保农民持续增收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项目区面积</w:t>
            </w:r>
          </w:p>
        </w:tc>
        <w:tc>
          <w:tcPr>
            <w:tcW w:w="2835" w:type="dxa"/>
            <w:noWrap w:val="0"/>
            <w:vAlign w:val="center"/>
          </w:tcPr>
          <w:p>
            <w:pPr>
              <w:pStyle w:val="18"/>
            </w:pPr>
            <w:r>
              <w:t>土地整治补充耕地任务</w:t>
            </w:r>
          </w:p>
        </w:tc>
        <w:tc>
          <w:tcPr>
            <w:tcW w:w="2551" w:type="dxa"/>
            <w:noWrap w:val="0"/>
            <w:vAlign w:val="center"/>
          </w:tcPr>
          <w:p>
            <w:pPr>
              <w:pStyle w:val="18"/>
            </w:pPr>
            <w:r>
              <w:t>500亩</w:t>
            </w:r>
          </w:p>
        </w:tc>
        <w:tc>
          <w:tcPr>
            <w:tcW w:w="2268" w:type="dxa"/>
            <w:noWrap w:val="0"/>
            <w:vAlign w:val="center"/>
          </w:tcPr>
          <w:p>
            <w:pPr>
              <w:pStyle w:val="18"/>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土地整治完成率</w:t>
            </w:r>
          </w:p>
        </w:tc>
        <w:tc>
          <w:tcPr>
            <w:tcW w:w="2835" w:type="dxa"/>
            <w:noWrap w:val="0"/>
            <w:vAlign w:val="center"/>
          </w:tcPr>
          <w:p>
            <w:pPr>
              <w:pStyle w:val="18"/>
            </w:pPr>
            <w:r>
              <w:t>项目完成情况</w:t>
            </w:r>
          </w:p>
        </w:tc>
        <w:tc>
          <w:tcPr>
            <w:tcW w:w="2551" w:type="dxa"/>
            <w:noWrap w:val="0"/>
            <w:vAlign w:val="center"/>
          </w:tcPr>
          <w:p>
            <w:pPr>
              <w:pStyle w:val="18"/>
            </w:pPr>
            <w:r>
              <w:t>100%</w:t>
            </w:r>
          </w:p>
        </w:tc>
        <w:tc>
          <w:tcPr>
            <w:tcW w:w="2268" w:type="dxa"/>
            <w:noWrap w:val="0"/>
            <w:vAlign w:val="center"/>
          </w:tcPr>
          <w:p>
            <w:pPr>
              <w:pStyle w:val="18"/>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土地整治完成及时性</w:t>
            </w:r>
          </w:p>
        </w:tc>
        <w:tc>
          <w:tcPr>
            <w:tcW w:w="2835" w:type="dxa"/>
            <w:noWrap w:val="0"/>
            <w:vAlign w:val="center"/>
          </w:tcPr>
          <w:p>
            <w:pPr>
              <w:pStyle w:val="18"/>
            </w:pPr>
            <w:r>
              <w:t>土地整治工作完成时间</w:t>
            </w:r>
          </w:p>
        </w:tc>
        <w:tc>
          <w:tcPr>
            <w:tcW w:w="2551" w:type="dxa"/>
            <w:noWrap w:val="0"/>
            <w:vAlign w:val="center"/>
          </w:tcPr>
          <w:p>
            <w:pPr>
              <w:pStyle w:val="18"/>
            </w:pPr>
            <w:r>
              <w:t>及时</w:t>
            </w:r>
          </w:p>
        </w:tc>
        <w:tc>
          <w:tcPr>
            <w:tcW w:w="2268" w:type="dxa"/>
            <w:noWrap w:val="0"/>
            <w:vAlign w:val="center"/>
          </w:tcPr>
          <w:p>
            <w:pPr>
              <w:pStyle w:val="18"/>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单位面积整治成本</w:t>
            </w:r>
          </w:p>
        </w:tc>
        <w:tc>
          <w:tcPr>
            <w:tcW w:w="2835" w:type="dxa"/>
            <w:noWrap w:val="0"/>
            <w:vAlign w:val="center"/>
          </w:tcPr>
          <w:p>
            <w:pPr>
              <w:pStyle w:val="18"/>
            </w:pPr>
            <w:r>
              <w:t>单位面积整治成本情况</w:t>
            </w:r>
          </w:p>
        </w:tc>
        <w:tc>
          <w:tcPr>
            <w:tcW w:w="2551" w:type="dxa"/>
            <w:noWrap w:val="0"/>
            <w:vAlign w:val="center"/>
          </w:tcPr>
          <w:p>
            <w:pPr>
              <w:pStyle w:val="18"/>
            </w:pPr>
            <w:r>
              <w:t>≤0.5万元/亩</w:t>
            </w:r>
          </w:p>
        </w:tc>
        <w:tc>
          <w:tcPr>
            <w:tcW w:w="2268"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提升农村土地利用率</w:t>
            </w:r>
          </w:p>
        </w:tc>
        <w:tc>
          <w:tcPr>
            <w:tcW w:w="2835" w:type="dxa"/>
            <w:noWrap w:val="0"/>
            <w:vAlign w:val="center"/>
          </w:tcPr>
          <w:p>
            <w:pPr>
              <w:pStyle w:val="18"/>
            </w:pPr>
            <w:r>
              <w:t>农村土地利用率情况。产出产能可用于我县土地征收补充耕地使用</w:t>
            </w:r>
          </w:p>
        </w:tc>
        <w:tc>
          <w:tcPr>
            <w:tcW w:w="2551" w:type="dxa"/>
            <w:noWrap w:val="0"/>
            <w:vAlign w:val="center"/>
          </w:tcPr>
          <w:p>
            <w:pPr>
              <w:pStyle w:val="18"/>
            </w:pPr>
            <w:r>
              <w:t>≥95%</w:t>
            </w:r>
          </w:p>
        </w:tc>
        <w:tc>
          <w:tcPr>
            <w:tcW w:w="2268" w:type="dxa"/>
            <w:noWrap w:val="0"/>
            <w:vAlign w:val="center"/>
          </w:tcPr>
          <w:p>
            <w:pPr>
              <w:pStyle w:val="18"/>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提质土地粮食产能持续时间</w:t>
            </w:r>
          </w:p>
        </w:tc>
        <w:tc>
          <w:tcPr>
            <w:tcW w:w="2835" w:type="dxa"/>
            <w:noWrap w:val="0"/>
            <w:vAlign w:val="center"/>
          </w:tcPr>
          <w:p>
            <w:pPr>
              <w:pStyle w:val="18"/>
            </w:pPr>
            <w:r>
              <w:t>提升土地粮食产能持续时间</w:t>
            </w:r>
          </w:p>
        </w:tc>
        <w:tc>
          <w:tcPr>
            <w:tcW w:w="2551" w:type="dxa"/>
            <w:noWrap w:val="0"/>
            <w:vAlign w:val="center"/>
          </w:tcPr>
          <w:p>
            <w:pPr>
              <w:pStyle w:val="18"/>
            </w:pPr>
            <w:r>
              <w:t>3年</w:t>
            </w:r>
          </w:p>
        </w:tc>
        <w:tc>
          <w:tcPr>
            <w:tcW w:w="2268" w:type="dxa"/>
            <w:noWrap w:val="0"/>
            <w:vAlign w:val="center"/>
          </w:tcPr>
          <w:p>
            <w:pPr>
              <w:pStyle w:val="18"/>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项目受益单位满意度</w:t>
            </w:r>
          </w:p>
        </w:tc>
        <w:tc>
          <w:tcPr>
            <w:tcW w:w="2835" w:type="dxa"/>
            <w:noWrap w:val="0"/>
            <w:vAlign w:val="center"/>
          </w:tcPr>
          <w:p>
            <w:pPr>
              <w:pStyle w:val="18"/>
            </w:pPr>
            <w:r>
              <w:t>项目受益单位满意度</w:t>
            </w:r>
          </w:p>
        </w:tc>
        <w:tc>
          <w:tcPr>
            <w:tcW w:w="2551" w:type="dxa"/>
            <w:noWrap w:val="0"/>
            <w:vAlign w:val="center"/>
          </w:tcPr>
          <w:p>
            <w:pPr>
              <w:pStyle w:val="18"/>
            </w:pPr>
            <w:r>
              <w:t>≥90%</w:t>
            </w:r>
          </w:p>
        </w:tc>
        <w:tc>
          <w:tcPr>
            <w:tcW w:w="2268" w:type="dxa"/>
            <w:noWrap w:val="0"/>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27、大厂回族自治县市政工程专项规划（2020-2035）绩效目标表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1.按照项目实施计划，通过项目逐步开展，充分落实《协同发展规划》及其专项规划的内容，实现城乡建设按照规划统一、有序发展。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编制数量</w:t>
            </w:r>
          </w:p>
        </w:tc>
        <w:tc>
          <w:tcPr>
            <w:tcW w:w="2835" w:type="dxa"/>
            <w:noWrap w:val="0"/>
            <w:vAlign w:val="center"/>
          </w:tcPr>
          <w:p>
            <w:pPr>
              <w:pStyle w:val="18"/>
            </w:pPr>
            <w:r>
              <w:t>市政工程专项规划中包含的各专项规划数量</w:t>
            </w:r>
          </w:p>
        </w:tc>
        <w:tc>
          <w:tcPr>
            <w:tcW w:w="2551" w:type="dxa"/>
            <w:noWrap w:val="0"/>
            <w:vAlign w:val="center"/>
          </w:tcPr>
          <w:p>
            <w:pPr>
              <w:pStyle w:val="18"/>
            </w:pPr>
            <w:r>
              <w:t>9项</w:t>
            </w:r>
          </w:p>
        </w:tc>
        <w:tc>
          <w:tcPr>
            <w:tcW w:w="2268"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编制完成率</w:t>
            </w:r>
          </w:p>
        </w:tc>
        <w:tc>
          <w:tcPr>
            <w:tcW w:w="2835" w:type="dxa"/>
            <w:noWrap w:val="0"/>
            <w:vAlign w:val="center"/>
          </w:tcPr>
          <w:p>
            <w:pPr>
              <w:pStyle w:val="18"/>
            </w:pPr>
            <w:r>
              <w:t>项目完成数量的占比</w:t>
            </w:r>
          </w:p>
        </w:tc>
        <w:tc>
          <w:tcPr>
            <w:tcW w:w="2551" w:type="dxa"/>
            <w:noWrap w:val="0"/>
            <w:vAlign w:val="center"/>
          </w:tcPr>
          <w:p>
            <w:pPr>
              <w:pStyle w:val="18"/>
            </w:pPr>
            <w:r>
              <w:t>100比率</w:t>
            </w:r>
          </w:p>
        </w:tc>
        <w:tc>
          <w:tcPr>
            <w:tcW w:w="2268"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项目编制完成时间</w:t>
            </w:r>
          </w:p>
        </w:tc>
        <w:tc>
          <w:tcPr>
            <w:tcW w:w="2551" w:type="dxa"/>
            <w:noWrap w:val="0"/>
            <w:vAlign w:val="center"/>
          </w:tcPr>
          <w:p>
            <w:pPr>
              <w:pStyle w:val="18"/>
            </w:pPr>
            <w:r>
              <w:t>1年</w:t>
            </w:r>
          </w:p>
        </w:tc>
        <w:tc>
          <w:tcPr>
            <w:tcW w:w="2268"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覆盖率</w:t>
            </w:r>
          </w:p>
        </w:tc>
        <w:tc>
          <w:tcPr>
            <w:tcW w:w="2835" w:type="dxa"/>
            <w:noWrap w:val="0"/>
            <w:vAlign w:val="center"/>
          </w:tcPr>
          <w:p>
            <w:pPr>
              <w:pStyle w:val="18"/>
            </w:pPr>
            <w:r>
              <w:t>规划覆盖率</w:t>
            </w:r>
          </w:p>
        </w:tc>
        <w:tc>
          <w:tcPr>
            <w:tcW w:w="2551" w:type="dxa"/>
            <w:noWrap w:val="0"/>
            <w:vAlign w:val="center"/>
          </w:tcPr>
          <w:p>
            <w:pPr>
              <w:pStyle w:val="18"/>
            </w:pPr>
            <w:r>
              <w:t>100%</w:t>
            </w:r>
          </w:p>
        </w:tc>
        <w:tc>
          <w:tcPr>
            <w:tcW w:w="226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使用时间</w:t>
            </w:r>
          </w:p>
        </w:tc>
        <w:tc>
          <w:tcPr>
            <w:tcW w:w="2835" w:type="dxa"/>
            <w:noWrap w:val="0"/>
            <w:vAlign w:val="center"/>
          </w:tcPr>
          <w:p>
            <w:pPr>
              <w:pStyle w:val="18"/>
            </w:pPr>
            <w:r>
              <w:t>规划成果使用时间</w:t>
            </w:r>
          </w:p>
        </w:tc>
        <w:tc>
          <w:tcPr>
            <w:tcW w:w="2551" w:type="dxa"/>
            <w:noWrap w:val="0"/>
            <w:vAlign w:val="center"/>
          </w:tcPr>
          <w:p>
            <w:pPr>
              <w:pStyle w:val="18"/>
            </w:pPr>
            <w:r>
              <w:t>1年</w:t>
            </w:r>
          </w:p>
        </w:tc>
        <w:tc>
          <w:tcPr>
            <w:tcW w:w="2268"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异议率</w:t>
            </w:r>
          </w:p>
        </w:tc>
        <w:tc>
          <w:tcPr>
            <w:tcW w:w="2835" w:type="dxa"/>
            <w:noWrap w:val="0"/>
            <w:vAlign w:val="center"/>
          </w:tcPr>
          <w:p>
            <w:pPr>
              <w:pStyle w:val="18"/>
            </w:pPr>
            <w:r>
              <w:t>对所编制的规划提出异议的比率</w:t>
            </w:r>
          </w:p>
        </w:tc>
        <w:tc>
          <w:tcPr>
            <w:tcW w:w="2551" w:type="dxa"/>
            <w:noWrap w:val="0"/>
            <w:vAlign w:val="center"/>
          </w:tcPr>
          <w:p>
            <w:pPr>
              <w:pStyle w:val="18"/>
            </w:pPr>
            <w:r>
              <w:t>0.01比率</w:t>
            </w:r>
          </w:p>
        </w:tc>
        <w:tc>
          <w:tcPr>
            <w:tcW w:w="2268" w:type="dxa"/>
            <w:noWrap w:val="0"/>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28、大厂回族自治县土地征收前（供地前）社会稳定风险评估服务项目资金</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1.通过项目的开展完成大厂回族自治县土地征收前社会稳定风险评估开展土地征收前工作</w:t>
            </w:r>
          </w:p>
          <w:p>
            <w:pPr>
              <w:pStyle w:val="18"/>
            </w:pPr>
            <w:r>
              <w:t>2.通过开展风险评估是有效规避、预防、控制土地征收实施过程中可能产生的社会稳定风险的重要举措，征地社会稳定风险评估结果是土地征收的重要依据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风险评估完成率</w:t>
            </w:r>
          </w:p>
        </w:tc>
        <w:tc>
          <w:tcPr>
            <w:tcW w:w="2835" w:type="dxa"/>
            <w:noWrap w:val="0"/>
            <w:vAlign w:val="center"/>
          </w:tcPr>
          <w:p>
            <w:pPr>
              <w:pStyle w:val="18"/>
            </w:pPr>
            <w:r>
              <w:t>实际进行风险评估的土地占应进行土地评估的土地的比例</w:t>
            </w:r>
          </w:p>
        </w:tc>
        <w:tc>
          <w:tcPr>
            <w:tcW w:w="2551" w:type="dxa"/>
            <w:noWrap w:val="0"/>
            <w:vAlign w:val="center"/>
          </w:tcPr>
          <w:p>
            <w:pPr>
              <w:pStyle w:val="18"/>
            </w:pPr>
            <w:r>
              <w:t>100%</w:t>
            </w:r>
          </w:p>
        </w:tc>
        <w:tc>
          <w:tcPr>
            <w:tcW w:w="2268" w:type="dxa"/>
            <w:noWrap w:val="0"/>
            <w:vAlign w:val="center"/>
          </w:tcPr>
          <w:p>
            <w:pPr>
              <w:pStyle w:val="18"/>
            </w:pPr>
            <w:r>
              <w:t>《中华人民共和国土地管理法》第四十七条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验收合格的项目数量占总数量的比例</w:t>
            </w:r>
          </w:p>
        </w:tc>
        <w:tc>
          <w:tcPr>
            <w:tcW w:w="2551" w:type="dxa"/>
            <w:noWrap w:val="0"/>
            <w:vAlign w:val="center"/>
          </w:tcPr>
          <w:p>
            <w:pPr>
              <w:pStyle w:val="18"/>
            </w:pPr>
            <w:r>
              <w:t>100%</w:t>
            </w:r>
          </w:p>
        </w:tc>
        <w:tc>
          <w:tcPr>
            <w:tcW w:w="2268" w:type="dxa"/>
            <w:noWrap w:val="0"/>
            <w:vAlign w:val="center"/>
          </w:tcPr>
          <w:p>
            <w:pPr>
              <w:pStyle w:val="18"/>
            </w:pPr>
            <w:r>
              <w:t>《中华人民共和国土地管理法》第四十七条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项目完成时间</w:t>
            </w:r>
          </w:p>
        </w:tc>
        <w:tc>
          <w:tcPr>
            <w:tcW w:w="2835" w:type="dxa"/>
            <w:noWrap w:val="0"/>
            <w:vAlign w:val="center"/>
          </w:tcPr>
          <w:p>
            <w:pPr>
              <w:pStyle w:val="18"/>
            </w:pPr>
            <w:r>
              <w:t>在工作计划的时间内完成</w:t>
            </w:r>
          </w:p>
        </w:tc>
        <w:tc>
          <w:tcPr>
            <w:tcW w:w="2551" w:type="dxa"/>
            <w:noWrap w:val="0"/>
            <w:vAlign w:val="center"/>
          </w:tcPr>
          <w:p>
            <w:pPr>
              <w:pStyle w:val="18"/>
            </w:pPr>
            <w:r>
              <w:t>12月</w:t>
            </w:r>
          </w:p>
        </w:tc>
        <w:tc>
          <w:tcPr>
            <w:tcW w:w="2268" w:type="dxa"/>
            <w:noWrap w:val="0"/>
            <w:vAlign w:val="center"/>
          </w:tcPr>
          <w:p>
            <w:pPr>
              <w:pStyle w:val="18"/>
            </w:pPr>
            <w:r>
              <w:t>《中华人民共和国土地管理法》第四十七条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单位成本偏离率</w:t>
            </w:r>
          </w:p>
        </w:tc>
        <w:tc>
          <w:tcPr>
            <w:tcW w:w="2835" w:type="dxa"/>
            <w:noWrap w:val="0"/>
            <w:vAlign w:val="center"/>
          </w:tcPr>
          <w:p>
            <w:pPr>
              <w:pStyle w:val="18"/>
            </w:pPr>
            <w:r>
              <w:t>偏离行业标准内单位成本的比率的绝对值</w:t>
            </w:r>
          </w:p>
        </w:tc>
        <w:tc>
          <w:tcPr>
            <w:tcW w:w="2551" w:type="dxa"/>
            <w:noWrap w:val="0"/>
            <w:vAlign w:val="center"/>
          </w:tcPr>
          <w:p>
            <w:pPr>
              <w:pStyle w:val="18"/>
            </w:pPr>
            <w:r>
              <w:t>≤10%</w:t>
            </w:r>
          </w:p>
        </w:tc>
        <w:tc>
          <w:tcPr>
            <w:tcW w:w="2268" w:type="dxa"/>
            <w:noWrap w:val="0"/>
            <w:vAlign w:val="center"/>
          </w:tcPr>
          <w:p>
            <w:pPr>
              <w:pStyle w:val="18"/>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矛盾纠纷上访率</w:t>
            </w:r>
          </w:p>
        </w:tc>
        <w:tc>
          <w:tcPr>
            <w:tcW w:w="2835" w:type="dxa"/>
            <w:noWrap w:val="0"/>
            <w:vAlign w:val="center"/>
          </w:tcPr>
          <w:p>
            <w:pPr>
              <w:pStyle w:val="18"/>
            </w:pPr>
            <w:r>
              <w:t>因土地纠纷上方的比率</w:t>
            </w:r>
          </w:p>
        </w:tc>
        <w:tc>
          <w:tcPr>
            <w:tcW w:w="2551" w:type="dxa"/>
            <w:noWrap w:val="0"/>
            <w:vAlign w:val="center"/>
          </w:tcPr>
          <w:p>
            <w:pPr>
              <w:pStyle w:val="18"/>
            </w:pPr>
            <w:r>
              <w:t>0.01%</w:t>
            </w:r>
          </w:p>
        </w:tc>
        <w:tc>
          <w:tcPr>
            <w:tcW w:w="2268" w:type="dxa"/>
            <w:noWrap w:val="0"/>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社会稳定风险评估服务影响时间</w:t>
            </w:r>
          </w:p>
        </w:tc>
        <w:tc>
          <w:tcPr>
            <w:tcW w:w="2835" w:type="dxa"/>
            <w:noWrap w:val="0"/>
            <w:vAlign w:val="center"/>
          </w:tcPr>
          <w:p>
            <w:pPr>
              <w:pStyle w:val="18"/>
            </w:pPr>
            <w:r>
              <w:t>社会稳定风险评估服务影响的时间</w:t>
            </w:r>
          </w:p>
        </w:tc>
        <w:tc>
          <w:tcPr>
            <w:tcW w:w="2551" w:type="dxa"/>
            <w:noWrap w:val="0"/>
            <w:vAlign w:val="center"/>
          </w:tcPr>
          <w:p>
            <w:pPr>
              <w:pStyle w:val="18"/>
            </w:pPr>
            <w:r>
              <w:t>1年</w:t>
            </w:r>
          </w:p>
        </w:tc>
        <w:tc>
          <w:tcPr>
            <w:tcW w:w="2268" w:type="dxa"/>
            <w:noWrap w:val="0"/>
            <w:vAlign w:val="center"/>
          </w:tcPr>
          <w:p>
            <w:pPr>
              <w:pStyle w:val="18"/>
            </w:pPr>
            <w:r>
              <w:t>根据现行法律法规政策或者社会背景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对项目满意的人数占服务对象人数的比例</w:t>
            </w:r>
          </w:p>
        </w:tc>
        <w:tc>
          <w:tcPr>
            <w:tcW w:w="2551" w:type="dxa"/>
            <w:noWrap w:val="0"/>
            <w:vAlign w:val="center"/>
          </w:tcPr>
          <w:p>
            <w:pPr>
              <w:pStyle w:val="18"/>
            </w:pPr>
            <w:r>
              <w:t>≥90%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29、大厂回族自治县县城控制性详细规划（原大厂回族自治县城镇开发边界控制性详细规划及县城城市设计）绩效目标表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1.通过项目的开展实现大厂县城城镇开发边界内控制性详细规划全覆盖，提升县城城市形象，保障上位规划的实现。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编制数量</w:t>
            </w:r>
          </w:p>
        </w:tc>
        <w:tc>
          <w:tcPr>
            <w:tcW w:w="2835" w:type="dxa"/>
            <w:noWrap w:val="0"/>
            <w:vAlign w:val="center"/>
          </w:tcPr>
          <w:p>
            <w:pPr>
              <w:pStyle w:val="18"/>
            </w:pPr>
            <w:r>
              <w:t>大厂县城控制性详细规划成果数量</w:t>
            </w:r>
          </w:p>
        </w:tc>
        <w:tc>
          <w:tcPr>
            <w:tcW w:w="2551" w:type="dxa"/>
            <w:noWrap w:val="0"/>
            <w:vAlign w:val="center"/>
          </w:tcPr>
          <w:p>
            <w:pPr>
              <w:pStyle w:val="18"/>
            </w:pPr>
            <w:r>
              <w:t>6套</w:t>
            </w:r>
          </w:p>
        </w:tc>
        <w:tc>
          <w:tcPr>
            <w:tcW w:w="2268" w:type="dxa"/>
            <w:noWrap w:val="0"/>
            <w:vAlign w:val="center"/>
          </w:tcPr>
          <w:p>
            <w:pPr>
              <w:pStyle w:val="18"/>
            </w:pPr>
            <w:r>
              <w:t>河北省城市控制性详细规划编制导则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完成验收率</w:t>
            </w:r>
          </w:p>
        </w:tc>
        <w:tc>
          <w:tcPr>
            <w:tcW w:w="2835" w:type="dxa"/>
            <w:noWrap w:val="0"/>
            <w:vAlign w:val="center"/>
          </w:tcPr>
          <w:p>
            <w:pPr>
              <w:pStyle w:val="18"/>
            </w:pPr>
            <w:r>
              <w:t>规划编制完成情况</w:t>
            </w:r>
          </w:p>
        </w:tc>
        <w:tc>
          <w:tcPr>
            <w:tcW w:w="2551" w:type="dxa"/>
            <w:noWrap w:val="0"/>
            <w:vAlign w:val="center"/>
          </w:tcPr>
          <w:p>
            <w:pPr>
              <w:pStyle w:val="18"/>
            </w:pPr>
            <w:r>
              <w:t>100%</w:t>
            </w:r>
          </w:p>
        </w:tc>
        <w:tc>
          <w:tcPr>
            <w:tcW w:w="2268" w:type="dxa"/>
            <w:noWrap w:val="0"/>
            <w:vAlign w:val="center"/>
          </w:tcPr>
          <w:p>
            <w:pPr>
              <w:pStyle w:val="18"/>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编制完成及时性</w:t>
            </w:r>
          </w:p>
        </w:tc>
        <w:tc>
          <w:tcPr>
            <w:tcW w:w="2835" w:type="dxa"/>
            <w:noWrap w:val="0"/>
            <w:vAlign w:val="center"/>
          </w:tcPr>
          <w:p>
            <w:pPr>
              <w:pStyle w:val="18"/>
            </w:pPr>
            <w:r>
              <w:t>编制完成时间</w:t>
            </w:r>
          </w:p>
        </w:tc>
        <w:tc>
          <w:tcPr>
            <w:tcW w:w="2551" w:type="dxa"/>
            <w:noWrap w:val="0"/>
            <w:vAlign w:val="center"/>
          </w:tcPr>
          <w:p>
            <w:pPr>
              <w:pStyle w:val="18"/>
            </w:pPr>
            <w:r>
              <w:t>1年</w:t>
            </w:r>
          </w:p>
        </w:tc>
        <w:tc>
          <w:tcPr>
            <w:tcW w:w="2268"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覆盖率</w:t>
            </w:r>
          </w:p>
        </w:tc>
        <w:tc>
          <w:tcPr>
            <w:tcW w:w="2835" w:type="dxa"/>
            <w:noWrap w:val="0"/>
            <w:vAlign w:val="center"/>
          </w:tcPr>
          <w:p>
            <w:pPr>
              <w:pStyle w:val="18"/>
            </w:pPr>
            <w:r>
              <w:t>县城城镇开发边界控制性详细规划覆盖率</w:t>
            </w:r>
          </w:p>
        </w:tc>
        <w:tc>
          <w:tcPr>
            <w:tcW w:w="2551" w:type="dxa"/>
            <w:noWrap w:val="0"/>
            <w:vAlign w:val="center"/>
          </w:tcPr>
          <w:p>
            <w:pPr>
              <w:pStyle w:val="18"/>
            </w:pPr>
            <w:r>
              <w:t>100%</w:t>
            </w:r>
          </w:p>
        </w:tc>
        <w:tc>
          <w:tcPr>
            <w:tcW w:w="2268" w:type="dxa"/>
            <w:noWrap w:val="0"/>
            <w:vAlign w:val="center"/>
          </w:tcPr>
          <w:p>
            <w:pPr>
              <w:pStyle w:val="18"/>
            </w:pPr>
            <w:r>
              <w:t>城乡规划法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使用时间</w:t>
            </w:r>
          </w:p>
        </w:tc>
        <w:tc>
          <w:tcPr>
            <w:tcW w:w="2835" w:type="dxa"/>
            <w:noWrap w:val="0"/>
            <w:vAlign w:val="center"/>
          </w:tcPr>
          <w:p>
            <w:pPr>
              <w:pStyle w:val="18"/>
            </w:pPr>
            <w:r>
              <w:t>规划成果使用时间</w:t>
            </w:r>
          </w:p>
        </w:tc>
        <w:tc>
          <w:tcPr>
            <w:tcW w:w="2551" w:type="dxa"/>
            <w:noWrap w:val="0"/>
            <w:vAlign w:val="center"/>
          </w:tcPr>
          <w:p>
            <w:pPr>
              <w:pStyle w:val="18"/>
            </w:pPr>
            <w:r>
              <w:t>1年</w:t>
            </w:r>
          </w:p>
        </w:tc>
        <w:tc>
          <w:tcPr>
            <w:tcW w:w="2268" w:type="dxa"/>
            <w:noWrap w:val="0"/>
            <w:vAlign w:val="center"/>
          </w:tcPr>
          <w:p>
            <w:pPr>
              <w:pStyle w:val="18"/>
            </w:pPr>
            <w:r>
              <w:t>验收文件或实施方案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异议率</w:t>
            </w:r>
          </w:p>
        </w:tc>
        <w:tc>
          <w:tcPr>
            <w:tcW w:w="2835" w:type="dxa"/>
            <w:noWrap w:val="0"/>
            <w:vAlign w:val="center"/>
          </w:tcPr>
          <w:p>
            <w:pPr>
              <w:pStyle w:val="18"/>
            </w:pPr>
            <w:r>
              <w:t>对所编制的规划提出异议的比率</w:t>
            </w:r>
          </w:p>
        </w:tc>
        <w:tc>
          <w:tcPr>
            <w:tcW w:w="2551" w:type="dxa"/>
            <w:noWrap w:val="0"/>
            <w:vAlign w:val="center"/>
          </w:tcPr>
          <w:p>
            <w:pPr>
              <w:pStyle w:val="18"/>
            </w:pPr>
            <w:r>
              <w:t>0.01比率</w:t>
            </w:r>
          </w:p>
        </w:tc>
        <w:tc>
          <w:tcPr>
            <w:tcW w:w="2268" w:type="dxa"/>
            <w:noWrap w:val="0"/>
            <w:vAlign w:val="center"/>
          </w:tcPr>
          <w:p>
            <w:pPr>
              <w:pStyle w:val="18"/>
            </w:pPr>
            <w:r>
              <w:t>项目受益单位满意度调查问卷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30、大厂回族自治县自然资源和规划局信息系统等级保护采购项目绩效目标表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1.通过项目的开展，完成信息安全等级保护建设，保障网络安全稳定运行。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防火墙系统</w:t>
            </w:r>
          </w:p>
        </w:tc>
        <w:tc>
          <w:tcPr>
            <w:tcW w:w="2835" w:type="dxa"/>
            <w:noWrap w:val="0"/>
            <w:vAlign w:val="center"/>
          </w:tcPr>
          <w:p>
            <w:pPr>
              <w:pStyle w:val="18"/>
            </w:pPr>
            <w:r>
              <w:t>完成设备入网</w:t>
            </w:r>
          </w:p>
        </w:tc>
        <w:tc>
          <w:tcPr>
            <w:tcW w:w="2551" w:type="dxa"/>
            <w:noWrap w:val="0"/>
            <w:vAlign w:val="center"/>
          </w:tcPr>
          <w:p>
            <w:pPr>
              <w:pStyle w:val="18"/>
            </w:pPr>
            <w:r>
              <w:t>2台</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日志分析管理系统</w:t>
            </w:r>
          </w:p>
        </w:tc>
        <w:tc>
          <w:tcPr>
            <w:tcW w:w="2835" w:type="dxa"/>
            <w:noWrap w:val="0"/>
            <w:vAlign w:val="center"/>
          </w:tcPr>
          <w:p>
            <w:pPr>
              <w:pStyle w:val="18"/>
            </w:pPr>
            <w:r>
              <w:t>完成设备入网</w:t>
            </w:r>
          </w:p>
        </w:tc>
        <w:tc>
          <w:tcPr>
            <w:tcW w:w="2551" w:type="dxa"/>
            <w:noWrap w:val="0"/>
            <w:vAlign w:val="center"/>
          </w:tcPr>
          <w:p>
            <w:pPr>
              <w:pStyle w:val="18"/>
            </w:pPr>
            <w:r>
              <w:t>1台</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运维安全管理系统</w:t>
            </w:r>
          </w:p>
        </w:tc>
        <w:tc>
          <w:tcPr>
            <w:tcW w:w="2835" w:type="dxa"/>
            <w:noWrap w:val="0"/>
            <w:vAlign w:val="center"/>
          </w:tcPr>
          <w:p>
            <w:pPr>
              <w:pStyle w:val="18"/>
            </w:pPr>
            <w:r>
              <w:t>完成设备入网</w:t>
            </w:r>
          </w:p>
        </w:tc>
        <w:tc>
          <w:tcPr>
            <w:tcW w:w="2551" w:type="dxa"/>
            <w:noWrap w:val="0"/>
            <w:vAlign w:val="center"/>
          </w:tcPr>
          <w:p>
            <w:pPr>
              <w:pStyle w:val="18"/>
            </w:pPr>
            <w:r>
              <w:t>1台</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全流量威胁分析系统</w:t>
            </w:r>
          </w:p>
        </w:tc>
        <w:tc>
          <w:tcPr>
            <w:tcW w:w="2835" w:type="dxa"/>
            <w:noWrap w:val="0"/>
            <w:vAlign w:val="center"/>
          </w:tcPr>
          <w:p>
            <w:pPr>
              <w:pStyle w:val="18"/>
            </w:pPr>
            <w:r>
              <w:t>完成设备入网</w:t>
            </w:r>
          </w:p>
        </w:tc>
        <w:tc>
          <w:tcPr>
            <w:tcW w:w="2551" w:type="dxa"/>
            <w:noWrap w:val="0"/>
            <w:vAlign w:val="center"/>
          </w:tcPr>
          <w:p>
            <w:pPr>
              <w:pStyle w:val="18"/>
            </w:pPr>
            <w:r>
              <w:t>1台</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终端检测与响应</w:t>
            </w:r>
          </w:p>
        </w:tc>
        <w:tc>
          <w:tcPr>
            <w:tcW w:w="2835" w:type="dxa"/>
            <w:noWrap w:val="0"/>
            <w:vAlign w:val="center"/>
          </w:tcPr>
          <w:p>
            <w:pPr>
              <w:pStyle w:val="18"/>
            </w:pPr>
            <w:r>
              <w:t>完成设备入网</w:t>
            </w:r>
          </w:p>
        </w:tc>
        <w:tc>
          <w:tcPr>
            <w:tcW w:w="2551" w:type="dxa"/>
            <w:noWrap w:val="0"/>
            <w:vAlign w:val="center"/>
          </w:tcPr>
          <w:p>
            <w:pPr>
              <w:pStyle w:val="18"/>
            </w:pPr>
            <w:r>
              <w:t>1台</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漏洞扫描服务</w:t>
            </w:r>
          </w:p>
        </w:tc>
        <w:tc>
          <w:tcPr>
            <w:tcW w:w="2835" w:type="dxa"/>
            <w:noWrap w:val="0"/>
            <w:vAlign w:val="center"/>
          </w:tcPr>
          <w:p>
            <w:pPr>
              <w:pStyle w:val="18"/>
            </w:pPr>
            <w:r>
              <w:t>安全服务</w:t>
            </w:r>
          </w:p>
        </w:tc>
        <w:tc>
          <w:tcPr>
            <w:tcW w:w="2551" w:type="dxa"/>
            <w:noWrap w:val="0"/>
            <w:vAlign w:val="center"/>
          </w:tcPr>
          <w:p>
            <w:pPr>
              <w:pStyle w:val="18"/>
            </w:pPr>
            <w:r>
              <w:t>4次</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基线核查服务</w:t>
            </w:r>
          </w:p>
        </w:tc>
        <w:tc>
          <w:tcPr>
            <w:tcW w:w="2835" w:type="dxa"/>
            <w:noWrap w:val="0"/>
            <w:vAlign w:val="center"/>
          </w:tcPr>
          <w:p>
            <w:pPr>
              <w:pStyle w:val="18"/>
            </w:pPr>
            <w:r>
              <w:t>安全服务</w:t>
            </w:r>
          </w:p>
        </w:tc>
        <w:tc>
          <w:tcPr>
            <w:tcW w:w="2551" w:type="dxa"/>
            <w:noWrap w:val="0"/>
            <w:vAlign w:val="center"/>
          </w:tcPr>
          <w:p>
            <w:pPr>
              <w:pStyle w:val="18"/>
            </w:pPr>
            <w:r>
              <w:t>4次</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风险评估服务</w:t>
            </w:r>
          </w:p>
        </w:tc>
        <w:tc>
          <w:tcPr>
            <w:tcW w:w="2835" w:type="dxa"/>
            <w:noWrap w:val="0"/>
            <w:vAlign w:val="center"/>
          </w:tcPr>
          <w:p>
            <w:pPr>
              <w:pStyle w:val="18"/>
            </w:pPr>
            <w:r>
              <w:t>安全服务</w:t>
            </w:r>
          </w:p>
        </w:tc>
        <w:tc>
          <w:tcPr>
            <w:tcW w:w="2551" w:type="dxa"/>
            <w:noWrap w:val="0"/>
            <w:vAlign w:val="center"/>
          </w:tcPr>
          <w:p>
            <w:pPr>
              <w:pStyle w:val="18"/>
            </w:pPr>
            <w:r>
              <w:t>4次</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数量指标</w:t>
            </w:r>
          </w:p>
        </w:tc>
        <w:tc>
          <w:tcPr>
            <w:tcW w:w="2835" w:type="dxa"/>
            <w:noWrap w:val="0"/>
            <w:vAlign w:val="center"/>
          </w:tcPr>
          <w:p>
            <w:pPr>
              <w:pStyle w:val="18"/>
            </w:pPr>
            <w:r>
              <w:t>信息安全测评服务</w:t>
            </w:r>
          </w:p>
        </w:tc>
        <w:tc>
          <w:tcPr>
            <w:tcW w:w="2835" w:type="dxa"/>
            <w:noWrap w:val="0"/>
            <w:vAlign w:val="center"/>
          </w:tcPr>
          <w:p>
            <w:pPr>
              <w:pStyle w:val="18"/>
            </w:pPr>
            <w:r>
              <w:t>安全服务</w:t>
            </w:r>
          </w:p>
        </w:tc>
        <w:tc>
          <w:tcPr>
            <w:tcW w:w="2551" w:type="dxa"/>
            <w:noWrap w:val="0"/>
            <w:vAlign w:val="center"/>
          </w:tcPr>
          <w:p>
            <w:pPr>
              <w:pStyle w:val="18"/>
            </w:pPr>
            <w:r>
              <w:t>1项</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部署设备质量达标率</w:t>
            </w:r>
          </w:p>
        </w:tc>
        <w:tc>
          <w:tcPr>
            <w:tcW w:w="2835" w:type="dxa"/>
            <w:noWrap w:val="0"/>
            <w:vAlign w:val="center"/>
          </w:tcPr>
          <w:p>
            <w:pPr>
              <w:pStyle w:val="18"/>
            </w:pPr>
            <w:r>
              <w:t>考察采购所需设备质量达标情况</w:t>
            </w:r>
          </w:p>
        </w:tc>
        <w:tc>
          <w:tcPr>
            <w:tcW w:w="2551" w:type="dxa"/>
            <w:noWrap w:val="0"/>
            <w:vAlign w:val="center"/>
          </w:tcPr>
          <w:p>
            <w:pPr>
              <w:pStyle w:val="18"/>
            </w:pPr>
            <w:r>
              <w:t>100%</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部署设备采购及时率</w:t>
            </w:r>
          </w:p>
        </w:tc>
        <w:tc>
          <w:tcPr>
            <w:tcW w:w="2835" w:type="dxa"/>
            <w:noWrap w:val="0"/>
            <w:vAlign w:val="center"/>
          </w:tcPr>
          <w:p>
            <w:pPr>
              <w:pStyle w:val="18"/>
            </w:pPr>
            <w:r>
              <w:t>考察采购设备部署是否按工作计划及时完成</w:t>
            </w:r>
          </w:p>
        </w:tc>
        <w:tc>
          <w:tcPr>
            <w:tcW w:w="2551" w:type="dxa"/>
            <w:noWrap w:val="0"/>
            <w:vAlign w:val="center"/>
          </w:tcPr>
          <w:p>
            <w:pPr>
              <w:pStyle w:val="18"/>
            </w:pPr>
            <w:r>
              <w:t>及时</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系统运行机制健全性</w:t>
            </w:r>
          </w:p>
        </w:tc>
        <w:tc>
          <w:tcPr>
            <w:tcW w:w="2835" w:type="dxa"/>
            <w:noWrap w:val="0"/>
            <w:vAlign w:val="center"/>
          </w:tcPr>
          <w:p>
            <w:pPr>
              <w:pStyle w:val="18"/>
            </w:pPr>
            <w:r>
              <w:t>考察网络系统运行、后续保障的机制是否健全</w:t>
            </w:r>
          </w:p>
        </w:tc>
        <w:tc>
          <w:tcPr>
            <w:tcW w:w="2551" w:type="dxa"/>
            <w:noWrap w:val="0"/>
            <w:vAlign w:val="center"/>
          </w:tcPr>
          <w:p>
            <w:pPr>
              <w:pStyle w:val="18"/>
            </w:pPr>
            <w:r>
              <w:t>≥95%</w:t>
            </w:r>
          </w:p>
        </w:tc>
        <w:tc>
          <w:tcPr>
            <w:tcW w:w="2268" w:type="dxa"/>
            <w:noWrap w:val="0"/>
            <w:vAlign w:val="center"/>
          </w:tcPr>
          <w:p>
            <w:pPr>
              <w:pStyle w:val="18"/>
            </w:pPr>
            <w:r>
              <w:t>相关系统维护管理制度、项目工作计划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经济效益指标</w:t>
            </w:r>
          </w:p>
        </w:tc>
        <w:tc>
          <w:tcPr>
            <w:tcW w:w="2835" w:type="dxa"/>
            <w:noWrap w:val="0"/>
            <w:vAlign w:val="center"/>
          </w:tcPr>
          <w:p>
            <w:pPr>
              <w:pStyle w:val="18"/>
            </w:pPr>
            <w:r>
              <w:t>网络攻击事件拦截率</w:t>
            </w:r>
          </w:p>
        </w:tc>
        <w:tc>
          <w:tcPr>
            <w:tcW w:w="2835" w:type="dxa"/>
            <w:noWrap w:val="0"/>
            <w:vAlign w:val="center"/>
          </w:tcPr>
          <w:p>
            <w:pPr>
              <w:pStyle w:val="18"/>
            </w:pPr>
            <w:r>
              <w:t>考察建设后的网络攻击拦截情况</w:t>
            </w:r>
          </w:p>
        </w:tc>
        <w:tc>
          <w:tcPr>
            <w:tcW w:w="2551" w:type="dxa"/>
            <w:noWrap w:val="0"/>
            <w:vAlign w:val="center"/>
          </w:tcPr>
          <w:p>
            <w:pPr>
              <w:pStyle w:val="18"/>
            </w:pPr>
            <w:r>
              <w:t>≥95%</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生态效益指标</w:t>
            </w:r>
          </w:p>
        </w:tc>
        <w:tc>
          <w:tcPr>
            <w:tcW w:w="2835" w:type="dxa"/>
            <w:noWrap w:val="0"/>
            <w:vAlign w:val="center"/>
          </w:tcPr>
          <w:p>
            <w:pPr>
              <w:pStyle w:val="18"/>
            </w:pPr>
            <w:r>
              <w:t>设备运行节能情况</w:t>
            </w:r>
          </w:p>
        </w:tc>
        <w:tc>
          <w:tcPr>
            <w:tcW w:w="2835" w:type="dxa"/>
            <w:noWrap w:val="0"/>
            <w:vAlign w:val="center"/>
          </w:tcPr>
          <w:p>
            <w:pPr>
              <w:pStyle w:val="18"/>
            </w:pPr>
            <w:r>
              <w:t>考察部署完成后的设备节能情况</w:t>
            </w:r>
          </w:p>
        </w:tc>
        <w:tc>
          <w:tcPr>
            <w:tcW w:w="2551" w:type="dxa"/>
            <w:noWrap w:val="0"/>
            <w:vAlign w:val="center"/>
          </w:tcPr>
          <w:p>
            <w:pPr>
              <w:pStyle w:val="18"/>
            </w:pPr>
            <w:r>
              <w:t>≥10%</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系统平台持续性使用</w:t>
            </w:r>
          </w:p>
        </w:tc>
        <w:tc>
          <w:tcPr>
            <w:tcW w:w="2835" w:type="dxa"/>
            <w:noWrap w:val="0"/>
            <w:vAlign w:val="center"/>
          </w:tcPr>
          <w:p>
            <w:pPr>
              <w:pStyle w:val="18"/>
            </w:pPr>
            <w:r>
              <w:t>建成网络信息安全平台持续性使用年限</w:t>
            </w:r>
          </w:p>
        </w:tc>
        <w:tc>
          <w:tcPr>
            <w:tcW w:w="2551" w:type="dxa"/>
            <w:noWrap w:val="0"/>
            <w:vAlign w:val="center"/>
          </w:tcPr>
          <w:p>
            <w:pPr>
              <w:pStyle w:val="18"/>
            </w:pPr>
            <w:r>
              <w:t>1年</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受益群体满意度</w:t>
            </w:r>
          </w:p>
        </w:tc>
        <w:tc>
          <w:tcPr>
            <w:tcW w:w="2835" w:type="dxa"/>
            <w:noWrap w:val="0"/>
            <w:vAlign w:val="center"/>
          </w:tcPr>
          <w:p>
            <w:pPr>
              <w:pStyle w:val="18"/>
            </w:pPr>
            <w:r>
              <w:t>受益群体调查中，满意和较满意的人数占全部调查人数的比率</w:t>
            </w:r>
          </w:p>
        </w:tc>
        <w:tc>
          <w:tcPr>
            <w:tcW w:w="2551" w:type="dxa"/>
            <w:noWrap w:val="0"/>
            <w:vAlign w:val="center"/>
          </w:tcPr>
          <w:p>
            <w:pPr>
              <w:pStyle w:val="18"/>
            </w:pPr>
            <w:r>
              <w:t>≥90%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31、大厂县2021年土地变更调查项目绩效目标表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1.通过项目的开展全面掌握我县2021年度土地利用变化情况，持续更新我县土地调查成果，不断夯实“以图管地”工作基础，加快推进我县国土治理体系和治理能力现代化。</w:t>
            </w:r>
          </w:p>
          <w:p>
            <w:pPr>
              <w:pStyle w:val="18"/>
            </w:pPr>
            <w:r>
              <w:t>2.通过项目的开展该项目的实施保持县域土地调查数据的准确性和现实性，以满足国土资源管理和经济社会发展的需要；为实施国土资源规划、管理、保护与合理利用提供依据；为编制国民经济和社会发展规划、有关专项规划提供基础数据，充分发挥土地管理参与与国民经济的宏观调控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数据库数量</w:t>
            </w:r>
          </w:p>
        </w:tc>
        <w:tc>
          <w:tcPr>
            <w:tcW w:w="2835" w:type="dxa"/>
            <w:noWrap w:val="0"/>
            <w:vAlign w:val="center"/>
          </w:tcPr>
          <w:p>
            <w:pPr>
              <w:pStyle w:val="18"/>
            </w:pPr>
            <w:r>
              <w:t>完整的一套变更调查数据库</w:t>
            </w:r>
          </w:p>
        </w:tc>
        <w:tc>
          <w:tcPr>
            <w:tcW w:w="2551" w:type="dxa"/>
            <w:noWrap w:val="0"/>
            <w:vAlign w:val="center"/>
          </w:tcPr>
          <w:p>
            <w:pPr>
              <w:pStyle w:val="18"/>
            </w:pPr>
            <w:r>
              <w:t>1套</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土地变更调查准确率</w:t>
            </w:r>
          </w:p>
        </w:tc>
        <w:tc>
          <w:tcPr>
            <w:tcW w:w="2835" w:type="dxa"/>
            <w:noWrap w:val="0"/>
            <w:vAlign w:val="center"/>
          </w:tcPr>
          <w:p>
            <w:pPr>
              <w:pStyle w:val="18"/>
            </w:pPr>
            <w:r>
              <w:t>上报变更图斑的准确数占国家下发图斑数量的比例</w:t>
            </w:r>
          </w:p>
        </w:tc>
        <w:tc>
          <w:tcPr>
            <w:tcW w:w="2551" w:type="dxa"/>
            <w:noWrap w:val="0"/>
            <w:vAlign w:val="center"/>
          </w:tcPr>
          <w:p>
            <w:pPr>
              <w:pStyle w:val="18"/>
            </w:pPr>
            <w:r>
              <w:t>≥95%</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增量包上报完成时间</w:t>
            </w:r>
          </w:p>
        </w:tc>
        <w:tc>
          <w:tcPr>
            <w:tcW w:w="2551" w:type="dxa"/>
            <w:noWrap w:val="0"/>
            <w:vAlign w:val="center"/>
          </w:tcPr>
          <w:p>
            <w:pPr>
              <w:pStyle w:val="18"/>
            </w:pPr>
            <w:r>
              <w:t>4月</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覆盖率</w:t>
            </w:r>
          </w:p>
        </w:tc>
        <w:tc>
          <w:tcPr>
            <w:tcW w:w="2835" w:type="dxa"/>
            <w:noWrap w:val="0"/>
            <w:vAlign w:val="center"/>
          </w:tcPr>
          <w:p>
            <w:pPr>
              <w:pStyle w:val="18"/>
            </w:pPr>
            <w:r>
              <w:t>调查对象覆盖整个县域内所有地类变化率</w:t>
            </w:r>
          </w:p>
        </w:tc>
        <w:tc>
          <w:tcPr>
            <w:tcW w:w="2551" w:type="dxa"/>
            <w:noWrap w:val="0"/>
            <w:vAlign w:val="center"/>
          </w:tcPr>
          <w:p>
            <w:pPr>
              <w:pStyle w:val="18"/>
            </w:pPr>
            <w:r>
              <w:t>100%</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土地变更调查时间间隔</w:t>
            </w:r>
          </w:p>
        </w:tc>
        <w:tc>
          <w:tcPr>
            <w:tcW w:w="2835" w:type="dxa"/>
            <w:noWrap w:val="0"/>
            <w:vAlign w:val="center"/>
          </w:tcPr>
          <w:p>
            <w:pPr>
              <w:pStyle w:val="18"/>
            </w:pPr>
            <w:r>
              <w:t>根据相关文件及法规要求对土地进行变更调查时间间隔</w:t>
            </w:r>
          </w:p>
        </w:tc>
        <w:tc>
          <w:tcPr>
            <w:tcW w:w="2551" w:type="dxa"/>
            <w:noWrap w:val="0"/>
            <w:vAlign w:val="center"/>
          </w:tcPr>
          <w:p>
            <w:pPr>
              <w:pStyle w:val="18"/>
            </w:pPr>
            <w:r>
              <w:t>1年</w:t>
            </w:r>
          </w:p>
        </w:tc>
        <w:tc>
          <w:tcPr>
            <w:tcW w:w="2268" w:type="dxa"/>
            <w:noWrap w:val="0"/>
            <w:vAlign w:val="center"/>
          </w:tcPr>
          <w:p>
            <w:pPr>
              <w:pStyle w:val="18"/>
            </w:pPr>
            <w:r>
              <w:t>相关文件及法规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服务对象对土地变更调查项目的满意度</w:t>
            </w:r>
          </w:p>
        </w:tc>
        <w:tc>
          <w:tcPr>
            <w:tcW w:w="2551" w:type="dxa"/>
            <w:noWrap w:val="0"/>
            <w:vAlign w:val="center"/>
          </w:tcPr>
          <w:p>
            <w:pPr>
              <w:pStyle w:val="18"/>
            </w:pPr>
            <w:r>
              <w:t>≥90%</w:t>
            </w:r>
          </w:p>
        </w:tc>
        <w:tc>
          <w:tcPr>
            <w:tcW w:w="2268" w:type="dxa"/>
            <w:noWrap w:val="0"/>
            <w:vAlign w:val="center"/>
          </w:tcPr>
          <w:p>
            <w:pPr>
              <w:pStyle w:val="18"/>
            </w:pPr>
            <w:r>
              <w:t>根据下发的通报、批评记录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32、大厂县国土空间总体规划资金绩效目标表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1.通过项目的开展,完成大厂县国土空间总体规划的编制要求。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编制数量</w:t>
            </w:r>
          </w:p>
        </w:tc>
        <w:tc>
          <w:tcPr>
            <w:tcW w:w="2835" w:type="dxa"/>
            <w:noWrap w:val="0"/>
            <w:vAlign w:val="center"/>
          </w:tcPr>
          <w:p>
            <w:pPr>
              <w:pStyle w:val="18"/>
            </w:pPr>
            <w:r>
              <w:t>规划中包含的各专项规划数量</w:t>
            </w:r>
          </w:p>
        </w:tc>
        <w:tc>
          <w:tcPr>
            <w:tcW w:w="2551" w:type="dxa"/>
            <w:noWrap w:val="0"/>
            <w:vAlign w:val="center"/>
          </w:tcPr>
          <w:p>
            <w:pPr>
              <w:pStyle w:val="18"/>
            </w:pPr>
            <w:r>
              <w:t>1套</w:t>
            </w:r>
          </w:p>
        </w:tc>
        <w:tc>
          <w:tcPr>
            <w:tcW w:w="2268" w:type="dxa"/>
            <w:noWrap w:val="0"/>
            <w:vAlign w:val="center"/>
          </w:tcPr>
          <w:p>
            <w:pPr>
              <w:pStyle w:val="18"/>
            </w:pPr>
            <w:r>
              <w:t>大厂县国土空间规划编制工作方案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项目开展的实际合格验收成果占总验收成果的利率</w:t>
            </w:r>
          </w:p>
        </w:tc>
        <w:tc>
          <w:tcPr>
            <w:tcW w:w="2551" w:type="dxa"/>
            <w:noWrap w:val="0"/>
            <w:vAlign w:val="center"/>
          </w:tcPr>
          <w:p>
            <w:pPr>
              <w:pStyle w:val="18"/>
            </w:pPr>
            <w:r>
              <w:t>100%</w:t>
            </w:r>
          </w:p>
        </w:tc>
        <w:tc>
          <w:tcPr>
            <w:tcW w:w="2268" w:type="dxa"/>
            <w:noWrap w:val="0"/>
            <w:vAlign w:val="center"/>
          </w:tcPr>
          <w:p>
            <w:pPr>
              <w:pStyle w:val="18"/>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依据合同约定时间完成</w:t>
            </w:r>
          </w:p>
        </w:tc>
        <w:tc>
          <w:tcPr>
            <w:tcW w:w="2551" w:type="dxa"/>
            <w:noWrap w:val="0"/>
            <w:vAlign w:val="center"/>
          </w:tcPr>
          <w:p>
            <w:pPr>
              <w:pStyle w:val="18"/>
            </w:pPr>
            <w:r>
              <w:t>12月</w:t>
            </w:r>
          </w:p>
        </w:tc>
        <w:tc>
          <w:tcPr>
            <w:tcW w:w="2268" w:type="dxa"/>
            <w:noWrap w:val="0"/>
            <w:vAlign w:val="center"/>
          </w:tcPr>
          <w:p>
            <w:pPr>
              <w:pStyle w:val="18"/>
            </w:pPr>
            <w:r>
              <w:t>依照合同工期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规划覆盖率</w:t>
            </w:r>
          </w:p>
        </w:tc>
        <w:tc>
          <w:tcPr>
            <w:tcW w:w="2835" w:type="dxa"/>
            <w:noWrap w:val="0"/>
            <w:vAlign w:val="center"/>
          </w:tcPr>
          <w:p>
            <w:pPr>
              <w:pStyle w:val="18"/>
            </w:pPr>
            <w:r>
              <w:t>大厂县国土空间总体规划实际规划面积占总体应规划面积的比率</w:t>
            </w:r>
          </w:p>
        </w:tc>
        <w:tc>
          <w:tcPr>
            <w:tcW w:w="2551" w:type="dxa"/>
            <w:noWrap w:val="0"/>
            <w:vAlign w:val="center"/>
          </w:tcPr>
          <w:p>
            <w:pPr>
              <w:pStyle w:val="18"/>
            </w:pPr>
            <w:r>
              <w:t>100%</w:t>
            </w:r>
          </w:p>
        </w:tc>
        <w:tc>
          <w:tcPr>
            <w:tcW w:w="2268" w:type="dxa"/>
            <w:noWrap w:val="0"/>
            <w:vAlign w:val="center"/>
          </w:tcPr>
          <w:p>
            <w:pPr>
              <w:pStyle w:val="18"/>
            </w:pPr>
            <w:r>
              <w:t>规划报告或者规划编制图纸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规划编制使用年限</w:t>
            </w:r>
          </w:p>
        </w:tc>
        <w:tc>
          <w:tcPr>
            <w:tcW w:w="2835" w:type="dxa"/>
            <w:noWrap w:val="0"/>
            <w:vAlign w:val="center"/>
          </w:tcPr>
          <w:p>
            <w:pPr>
              <w:pStyle w:val="18"/>
            </w:pPr>
            <w:r>
              <w:t>大厂县国土空间总体规划使用年限</w:t>
            </w:r>
          </w:p>
        </w:tc>
        <w:tc>
          <w:tcPr>
            <w:tcW w:w="2551" w:type="dxa"/>
            <w:noWrap w:val="0"/>
            <w:vAlign w:val="center"/>
          </w:tcPr>
          <w:p>
            <w:pPr>
              <w:pStyle w:val="18"/>
            </w:pPr>
            <w:r>
              <w:t>13年</w:t>
            </w:r>
          </w:p>
        </w:tc>
        <w:tc>
          <w:tcPr>
            <w:tcW w:w="2268" w:type="dxa"/>
            <w:noWrap w:val="0"/>
            <w:vAlign w:val="center"/>
          </w:tcPr>
          <w:p>
            <w:pPr>
              <w:pStyle w:val="18"/>
            </w:pPr>
            <w:r>
              <w:t>规划报告或者规划编制图纸及实际需求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33、大厂县视频监控智慧国土指挥平台项目（一期）服务费用绩效目标表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1.通过该项目的实施，掌握全县发生损害国土资源的违法违规现象，有效遏制违法违规现象的出现</w:t>
            </w:r>
          </w:p>
          <w:p>
            <w:pPr>
              <w:pStyle w:val="18"/>
            </w:pPr>
            <w:r>
              <w:t>2.通过该项目的实施，达到及时发现、及时报告、及时制止、及时处理国土资源违法违规现象的目的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平台使用数量</w:t>
            </w:r>
          </w:p>
        </w:tc>
        <w:tc>
          <w:tcPr>
            <w:tcW w:w="2835" w:type="dxa"/>
            <w:noWrap w:val="0"/>
            <w:vAlign w:val="center"/>
          </w:tcPr>
          <w:p>
            <w:pPr>
              <w:pStyle w:val="18"/>
            </w:pPr>
            <w:r>
              <w:t>考察大厂县视频监控智慧国土指挥平台使用数量</w:t>
            </w:r>
          </w:p>
        </w:tc>
        <w:tc>
          <w:tcPr>
            <w:tcW w:w="2551" w:type="dxa"/>
            <w:noWrap w:val="0"/>
            <w:vAlign w:val="center"/>
          </w:tcPr>
          <w:p>
            <w:pPr>
              <w:pStyle w:val="18"/>
            </w:pPr>
            <w:r>
              <w:t>1套</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正常使用率</w:t>
            </w:r>
          </w:p>
        </w:tc>
        <w:tc>
          <w:tcPr>
            <w:tcW w:w="2835" w:type="dxa"/>
            <w:noWrap w:val="0"/>
            <w:vAlign w:val="center"/>
          </w:tcPr>
          <w:p>
            <w:pPr>
              <w:pStyle w:val="18"/>
            </w:pPr>
            <w:r>
              <w:t>项目是否能正常使用</w:t>
            </w:r>
          </w:p>
        </w:tc>
        <w:tc>
          <w:tcPr>
            <w:tcW w:w="2551" w:type="dxa"/>
            <w:noWrap w:val="0"/>
            <w:vAlign w:val="center"/>
          </w:tcPr>
          <w:p>
            <w:pPr>
              <w:pStyle w:val="18"/>
            </w:pPr>
            <w:r>
              <w:t>100%</w:t>
            </w:r>
          </w:p>
        </w:tc>
        <w:tc>
          <w:tcPr>
            <w:tcW w:w="2268" w:type="dxa"/>
            <w:noWrap w:val="0"/>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正常使用时长</w:t>
            </w:r>
          </w:p>
        </w:tc>
        <w:tc>
          <w:tcPr>
            <w:tcW w:w="2835" w:type="dxa"/>
            <w:noWrap w:val="0"/>
            <w:vAlign w:val="center"/>
          </w:tcPr>
          <w:p>
            <w:pPr>
              <w:pStyle w:val="18"/>
            </w:pPr>
            <w:r>
              <w:t>考察项目正常使用时间</w:t>
            </w:r>
          </w:p>
        </w:tc>
        <w:tc>
          <w:tcPr>
            <w:tcW w:w="2551" w:type="dxa"/>
            <w:noWrap w:val="0"/>
            <w:vAlign w:val="center"/>
          </w:tcPr>
          <w:p>
            <w:pPr>
              <w:pStyle w:val="18"/>
            </w:pPr>
            <w:r>
              <w:t>1年</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超概算金额占概算的比例</w:t>
            </w:r>
          </w:p>
        </w:tc>
        <w:tc>
          <w:tcPr>
            <w:tcW w:w="2551" w:type="dxa"/>
            <w:noWrap w:val="0"/>
            <w:vAlign w:val="center"/>
          </w:tcPr>
          <w:p>
            <w:pPr>
              <w:pStyle w:val="18"/>
            </w:pPr>
            <w:r>
              <w:t>100%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有效遏制违法违规现象的出现</w:t>
            </w:r>
          </w:p>
        </w:tc>
        <w:tc>
          <w:tcPr>
            <w:tcW w:w="2835" w:type="dxa"/>
            <w:noWrap w:val="0"/>
            <w:vAlign w:val="center"/>
          </w:tcPr>
          <w:p>
            <w:pPr>
              <w:pStyle w:val="18"/>
            </w:pPr>
            <w:r>
              <w:t>掌握全县发生损害国土资源的违法违规现象，有效遏制违法违规现象的出现</w:t>
            </w:r>
          </w:p>
        </w:tc>
        <w:tc>
          <w:tcPr>
            <w:tcW w:w="2551" w:type="dxa"/>
            <w:noWrap w:val="0"/>
            <w:vAlign w:val="center"/>
          </w:tcPr>
          <w:p>
            <w:pPr>
              <w:pStyle w:val="18"/>
            </w:pPr>
            <w:r>
              <w:t>≥50%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平台使用年限</w:t>
            </w:r>
          </w:p>
        </w:tc>
        <w:tc>
          <w:tcPr>
            <w:tcW w:w="2835" w:type="dxa"/>
            <w:noWrap w:val="0"/>
            <w:vAlign w:val="center"/>
          </w:tcPr>
          <w:p>
            <w:pPr>
              <w:pStyle w:val="18"/>
            </w:pPr>
            <w:r>
              <w:t>考察视频监控智慧国土指挥平台可使用年限</w:t>
            </w:r>
          </w:p>
        </w:tc>
        <w:tc>
          <w:tcPr>
            <w:tcW w:w="2551" w:type="dxa"/>
            <w:noWrap w:val="0"/>
            <w:vAlign w:val="center"/>
          </w:tcPr>
          <w:p>
            <w:pPr>
              <w:pStyle w:val="18"/>
            </w:pPr>
            <w:r>
              <w:t>≥3年</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平台使用者满意度</w:t>
            </w:r>
          </w:p>
        </w:tc>
        <w:tc>
          <w:tcPr>
            <w:tcW w:w="2835" w:type="dxa"/>
            <w:noWrap w:val="0"/>
            <w:vAlign w:val="center"/>
          </w:tcPr>
          <w:p>
            <w:pPr>
              <w:pStyle w:val="18"/>
            </w:pPr>
            <w:r>
              <w:t>考察平台使用者满意度</w:t>
            </w:r>
          </w:p>
        </w:tc>
        <w:tc>
          <w:tcPr>
            <w:tcW w:w="2551" w:type="dxa"/>
            <w:noWrap w:val="0"/>
            <w:vAlign w:val="center"/>
          </w:tcPr>
          <w:p>
            <w:pPr>
              <w:pStyle w:val="18"/>
            </w:pPr>
            <w:r>
              <w:t>≥90%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34、大厂县土地利用总体规划四个专题研究项目绩效目标表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1.通过项目的开展,完成大厂县土地利用总体规划四个专题研究项目的编制要求。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编制数量</w:t>
            </w:r>
          </w:p>
        </w:tc>
        <w:tc>
          <w:tcPr>
            <w:tcW w:w="2835" w:type="dxa"/>
            <w:noWrap w:val="0"/>
            <w:vAlign w:val="center"/>
          </w:tcPr>
          <w:p>
            <w:pPr>
              <w:pStyle w:val="18"/>
            </w:pPr>
            <w:r>
              <w:t>规划中包含的各专项规划数量</w:t>
            </w:r>
          </w:p>
        </w:tc>
        <w:tc>
          <w:tcPr>
            <w:tcW w:w="2551" w:type="dxa"/>
            <w:noWrap w:val="0"/>
            <w:vAlign w:val="center"/>
          </w:tcPr>
          <w:p>
            <w:pPr>
              <w:pStyle w:val="18"/>
            </w:pPr>
            <w:r>
              <w:t>1套</w:t>
            </w:r>
          </w:p>
        </w:tc>
        <w:tc>
          <w:tcPr>
            <w:tcW w:w="2268" w:type="dxa"/>
            <w:noWrap w:val="0"/>
            <w:vAlign w:val="center"/>
          </w:tcPr>
          <w:p>
            <w:pPr>
              <w:pStyle w:val="18"/>
            </w:pPr>
            <w:r>
              <w:t>大厂县国土空间规划编制工作方案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项目开展的实际合格验收成果占总验收成果的利率</w:t>
            </w:r>
          </w:p>
        </w:tc>
        <w:tc>
          <w:tcPr>
            <w:tcW w:w="2551" w:type="dxa"/>
            <w:noWrap w:val="0"/>
            <w:vAlign w:val="center"/>
          </w:tcPr>
          <w:p>
            <w:pPr>
              <w:pStyle w:val="18"/>
            </w:pPr>
            <w:r>
              <w:t>100%</w:t>
            </w:r>
          </w:p>
        </w:tc>
        <w:tc>
          <w:tcPr>
            <w:tcW w:w="2268" w:type="dxa"/>
            <w:noWrap w:val="0"/>
            <w:vAlign w:val="center"/>
          </w:tcPr>
          <w:p>
            <w:pPr>
              <w:pStyle w:val="18"/>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依据合同约定时间完成</w:t>
            </w:r>
          </w:p>
        </w:tc>
        <w:tc>
          <w:tcPr>
            <w:tcW w:w="2551" w:type="dxa"/>
            <w:noWrap w:val="0"/>
            <w:vAlign w:val="center"/>
          </w:tcPr>
          <w:p>
            <w:pPr>
              <w:pStyle w:val="18"/>
            </w:pPr>
            <w:r>
              <w:t>12月</w:t>
            </w:r>
          </w:p>
        </w:tc>
        <w:tc>
          <w:tcPr>
            <w:tcW w:w="2268" w:type="dxa"/>
            <w:noWrap w:val="0"/>
            <w:vAlign w:val="center"/>
          </w:tcPr>
          <w:p>
            <w:pPr>
              <w:pStyle w:val="18"/>
            </w:pPr>
            <w:r>
              <w:t>依照合同工期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规划覆盖率</w:t>
            </w:r>
          </w:p>
        </w:tc>
        <w:tc>
          <w:tcPr>
            <w:tcW w:w="2835" w:type="dxa"/>
            <w:noWrap w:val="0"/>
            <w:vAlign w:val="center"/>
          </w:tcPr>
          <w:p>
            <w:pPr>
              <w:pStyle w:val="18"/>
            </w:pPr>
            <w:r>
              <w:t>大厂县土地利用总体规划实际规划面积占总体应规划面积的比率</w:t>
            </w:r>
          </w:p>
        </w:tc>
        <w:tc>
          <w:tcPr>
            <w:tcW w:w="2551" w:type="dxa"/>
            <w:noWrap w:val="0"/>
            <w:vAlign w:val="center"/>
          </w:tcPr>
          <w:p>
            <w:pPr>
              <w:pStyle w:val="18"/>
            </w:pPr>
            <w:r>
              <w:t>100%</w:t>
            </w:r>
          </w:p>
        </w:tc>
        <w:tc>
          <w:tcPr>
            <w:tcW w:w="2268" w:type="dxa"/>
            <w:noWrap w:val="0"/>
            <w:vAlign w:val="center"/>
          </w:tcPr>
          <w:p>
            <w:pPr>
              <w:pStyle w:val="18"/>
            </w:pPr>
            <w:r>
              <w:t>规划报告或者规划编制图纸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规划编制使用年限</w:t>
            </w:r>
          </w:p>
        </w:tc>
        <w:tc>
          <w:tcPr>
            <w:tcW w:w="2835" w:type="dxa"/>
            <w:noWrap w:val="0"/>
            <w:vAlign w:val="center"/>
          </w:tcPr>
          <w:p>
            <w:pPr>
              <w:pStyle w:val="18"/>
            </w:pPr>
            <w:r>
              <w:t>大厂县土地利用总体规划使用年限</w:t>
            </w:r>
          </w:p>
        </w:tc>
        <w:tc>
          <w:tcPr>
            <w:tcW w:w="2551" w:type="dxa"/>
            <w:noWrap w:val="0"/>
            <w:vAlign w:val="center"/>
          </w:tcPr>
          <w:p>
            <w:pPr>
              <w:pStyle w:val="18"/>
            </w:pPr>
            <w:r>
              <w:t>13年</w:t>
            </w:r>
          </w:p>
        </w:tc>
        <w:tc>
          <w:tcPr>
            <w:tcW w:w="2268" w:type="dxa"/>
            <w:noWrap w:val="0"/>
            <w:vAlign w:val="center"/>
          </w:tcPr>
          <w:p>
            <w:pPr>
              <w:pStyle w:val="18"/>
            </w:pPr>
            <w:r>
              <w:t>规划报告或者规划编制图纸及实际需求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35、大厂县县城总体城市设计、重点地区城市设计和建筑风貌设计项目绩效目标表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1.通过项目的开展提升县城城市形象，完善城市功能促进健康城市发展，发挥社会长久效益。</w:t>
            </w:r>
          </w:p>
          <w:p>
            <w:pPr>
              <w:pStyle w:val="18"/>
            </w:pPr>
            <w:r>
              <w:t>2.按照项目实施计划，项目逐步开展，充分发挥城市设计在城市建设中的重要作用，落实国土空间总体规划，实现城市景观和风貌双提升。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编制数量</w:t>
            </w:r>
          </w:p>
        </w:tc>
        <w:tc>
          <w:tcPr>
            <w:tcW w:w="2835" w:type="dxa"/>
            <w:noWrap w:val="0"/>
            <w:vAlign w:val="center"/>
          </w:tcPr>
          <w:p>
            <w:pPr>
              <w:pStyle w:val="18"/>
            </w:pPr>
            <w:r>
              <w:t>总体城市设计、重点地区城市设计和建筑风貌设计</w:t>
            </w:r>
          </w:p>
        </w:tc>
        <w:tc>
          <w:tcPr>
            <w:tcW w:w="2551" w:type="dxa"/>
            <w:noWrap w:val="0"/>
            <w:vAlign w:val="center"/>
          </w:tcPr>
          <w:p>
            <w:pPr>
              <w:pStyle w:val="18"/>
            </w:pPr>
            <w:r>
              <w:t>3项</w:t>
            </w:r>
          </w:p>
        </w:tc>
        <w:tc>
          <w:tcPr>
            <w:tcW w:w="2268" w:type="dxa"/>
            <w:noWrap w:val="0"/>
            <w:vAlign w:val="center"/>
          </w:tcPr>
          <w:p>
            <w:pPr>
              <w:pStyle w:val="18"/>
            </w:pPr>
            <w:r>
              <w:t>县城建设品质提升有关文件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项目开展的实际合格验收成果占总验收成果的利率</w:t>
            </w:r>
          </w:p>
        </w:tc>
        <w:tc>
          <w:tcPr>
            <w:tcW w:w="2551" w:type="dxa"/>
            <w:noWrap w:val="0"/>
            <w:vAlign w:val="center"/>
          </w:tcPr>
          <w:p>
            <w:pPr>
              <w:pStyle w:val="18"/>
            </w:pPr>
            <w:r>
              <w:t>100%</w:t>
            </w:r>
          </w:p>
        </w:tc>
        <w:tc>
          <w:tcPr>
            <w:tcW w:w="2268" w:type="dxa"/>
            <w:noWrap w:val="0"/>
            <w:vAlign w:val="center"/>
          </w:tcPr>
          <w:p>
            <w:pPr>
              <w:pStyle w:val="18"/>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更新成果完成时间</w:t>
            </w:r>
          </w:p>
        </w:tc>
        <w:tc>
          <w:tcPr>
            <w:tcW w:w="2551" w:type="dxa"/>
            <w:noWrap w:val="0"/>
            <w:vAlign w:val="center"/>
          </w:tcPr>
          <w:p>
            <w:pPr>
              <w:pStyle w:val="18"/>
            </w:pPr>
            <w:r>
              <w:t>及时</w:t>
            </w:r>
          </w:p>
        </w:tc>
        <w:tc>
          <w:tcPr>
            <w:tcW w:w="2268" w:type="dxa"/>
            <w:noWrap w:val="0"/>
            <w:vAlign w:val="center"/>
          </w:tcPr>
          <w:p>
            <w:pPr>
              <w:pStyle w:val="18"/>
            </w:pPr>
            <w:r>
              <w:t>依照合同工期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超预算金额占预算的比例</w:t>
            </w:r>
          </w:p>
        </w:tc>
        <w:tc>
          <w:tcPr>
            <w:tcW w:w="2551" w:type="dxa"/>
            <w:noWrap w:val="0"/>
            <w:vAlign w:val="center"/>
          </w:tcPr>
          <w:p>
            <w:pPr>
              <w:pStyle w:val="18"/>
            </w:pPr>
            <w:r>
              <w:t>≤10%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设计覆盖率</w:t>
            </w:r>
          </w:p>
        </w:tc>
        <w:tc>
          <w:tcPr>
            <w:tcW w:w="2835" w:type="dxa"/>
            <w:noWrap w:val="0"/>
            <w:vAlign w:val="center"/>
          </w:tcPr>
          <w:p>
            <w:pPr>
              <w:pStyle w:val="18"/>
            </w:pPr>
            <w:r>
              <w:t>总体城市设计、重点地区城市设计和建筑风貌设计面积占总体应设计面积的利率</w:t>
            </w:r>
          </w:p>
        </w:tc>
        <w:tc>
          <w:tcPr>
            <w:tcW w:w="2551" w:type="dxa"/>
            <w:noWrap w:val="0"/>
            <w:vAlign w:val="center"/>
          </w:tcPr>
          <w:p>
            <w:pPr>
              <w:pStyle w:val="18"/>
            </w:pPr>
            <w:r>
              <w:t>100%</w:t>
            </w:r>
          </w:p>
        </w:tc>
        <w:tc>
          <w:tcPr>
            <w:tcW w:w="2268" w:type="dxa"/>
            <w:noWrap w:val="0"/>
            <w:vAlign w:val="center"/>
          </w:tcPr>
          <w:p>
            <w:pPr>
              <w:pStyle w:val="18"/>
            </w:pPr>
            <w:r>
              <w:t>设计报告或者设计图纸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设计使用年限</w:t>
            </w:r>
          </w:p>
        </w:tc>
        <w:tc>
          <w:tcPr>
            <w:tcW w:w="2835" w:type="dxa"/>
            <w:noWrap w:val="0"/>
            <w:vAlign w:val="center"/>
          </w:tcPr>
          <w:p>
            <w:pPr>
              <w:pStyle w:val="18"/>
            </w:pPr>
            <w:r>
              <w:t>总体城市设计、重点地区城市设计和建筑风貌设计使用年限</w:t>
            </w:r>
          </w:p>
        </w:tc>
        <w:tc>
          <w:tcPr>
            <w:tcW w:w="2551" w:type="dxa"/>
            <w:noWrap w:val="0"/>
            <w:vAlign w:val="center"/>
          </w:tcPr>
          <w:p>
            <w:pPr>
              <w:pStyle w:val="18"/>
            </w:pPr>
            <w:r>
              <w:t>15年</w:t>
            </w:r>
          </w:p>
        </w:tc>
        <w:tc>
          <w:tcPr>
            <w:tcW w:w="2268" w:type="dxa"/>
            <w:noWrap w:val="0"/>
            <w:vAlign w:val="center"/>
          </w:tcPr>
          <w:p>
            <w:pPr>
              <w:pStyle w:val="18"/>
            </w:pPr>
            <w:r>
              <w:t>设计报告或者设计图纸及实际需求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36、大厂县自然资源智能监管平台项目（二期）绩效目标表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1.通过该项目的实施，掌握全县发生损害国土资源的违法违规现象，有效遏制违法违规现象的出现</w:t>
            </w:r>
          </w:p>
          <w:p>
            <w:pPr>
              <w:pStyle w:val="18"/>
            </w:pPr>
            <w:r>
              <w:t>2.通过该项目的实施，达到及时发现、及时报告、及时制止、及时处理国土资源违法违规现象的目的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平台建设数量</w:t>
            </w:r>
          </w:p>
        </w:tc>
        <w:tc>
          <w:tcPr>
            <w:tcW w:w="2835" w:type="dxa"/>
            <w:noWrap w:val="0"/>
            <w:vAlign w:val="center"/>
          </w:tcPr>
          <w:p>
            <w:pPr>
              <w:pStyle w:val="18"/>
            </w:pPr>
            <w:r>
              <w:t>平台建设数量情况</w:t>
            </w:r>
          </w:p>
        </w:tc>
        <w:tc>
          <w:tcPr>
            <w:tcW w:w="2551" w:type="dxa"/>
            <w:noWrap w:val="0"/>
            <w:vAlign w:val="center"/>
          </w:tcPr>
          <w:p>
            <w:pPr>
              <w:pStyle w:val="18"/>
            </w:pPr>
            <w:r>
              <w:t>1套</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项目验收合格率</w:t>
            </w:r>
          </w:p>
        </w:tc>
        <w:tc>
          <w:tcPr>
            <w:tcW w:w="2551" w:type="dxa"/>
            <w:noWrap w:val="0"/>
            <w:vAlign w:val="center"/>
          </w:tcPr>
          <w:p>
            <w:pPr>
              <w:pStyle w:val="18"/>
            </w:pPr>
            <w:r>
              <w:t>100%</w:t>
            </w:r>
          </w:p>
        </w:tc>
        <w:tc>
          <w:tcPr>
            <w:tcW w:w="2268" w:type="dxa"/>
            <w:noWrap w:val="0"/>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项目建设完成及时性</w:t>
            </w:r>
          </w:p>
        </w:tc>
        <w:tc>
          <w:tcPr>
            <w:tcW w:w="2835" w:type="dxa"/>
            <w:noWrap w:val="0"/>
            <w:vAlign w:val="center"/>
          </w:tcPr>
          <w:p>
            <w:pPr>
              <w:pStyle w:val="18"/>
            </w:pPr>
            <w:r>
              <w:t>项目建设完成时间</w:t>
            </w:r>
          </w:p>
        </w:tc>
        <w:tc>
          <w:tcPr>
            <w:tcW w:w="2551" w:type="dxa"/>
            <w:noWrap w:val="0"/>
            <w:vAlign w:val="center"/>
          </w:tcPr>
          <w:p>
            <w:pPr>
              <w:pStyle w:val="18"/>
            </w:pPr>
            <w:r>
              <w:t>及时</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项目成本控制率</w:t>
            </w:r>
          </w:p>
        </w:tc>
        <w:tc>
          <w:tcPr>
            <w:tcW w:w="2835" w:type="dxa"/>
            <w:noWrap w:val="0"/>
            <w:vAlign w:val="center"/>
          </w:tcPr>
          <w:p>
            <w:pPr>
              <w:pStyle w:val="18"/>
            </w:pPr>
            <w:r>
              <w:t>项目成本控制情况</w:t>
            </w:r>
          </w:p>
        </w:tc>
        <w:tc>
          <w:tcPr>
            <w:tcW w:w="2551" w:type="dxa"/>
            <w:noWrap w:val="0"/>
            <w:vAlign w:val="center"/>
          </w:tcPr>
          <w:p>
            <w:pPr>
              <w:pStyle w:val="18"/>
            </w:pPr>
            <w:r>
              <w:t>≤0.1%</w:t>
            </w:r>
          </w:p>
        </w:tc>
        <w:tc>
          <w:tcPr>
            <w:tcW w:w="2268" w:type="dxa"/>
            <w:noWrap w:val="0"/>
            <w:vAlign w:val="center"/>
          </w:tcPr>
          <w:p>
            <w:pPr>
              <w:pStyle w:val="18"/>
            </w:pPr>
            <w:r>
              <w:t>部门预算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对发现、报告处理国土资源违法违规现象的及时率</w:t>
            </w:r>
          </w:p>
        </w:tc>
        <w:tc>
          <w:tcPr>
            <w:tcW w:w="2835" w:type="dxa"/>
            <w:noWrap w:val="0"/>
            <w:vAlign w:val="center"/>
          </w:tcPr>
          <w:p>
            <w:pPr>
              <w:pStyle w:val="18"/>
            </w:pPr>
            <w:r>
              <w:t>反映对发现、报告处理国土资源违法违规现象的及时情况</w:t>
            </w:r>
          </w:p>
        </w:tc>
        <w:tc>
          <w:tcPr>
            <w:tcW w:w="2551" w:type="dxa"/>
            <w:noWrap w:val="0"/>
            <w:vAlign w:val="center"/>
          </w:tcPr>
          <w:p>
            <w:pPr>
              <w:pStyle w:val="18"/>
            </w:pPr>
            <w:r>
              <w:t>≥95%</w:t>
            </w:r>
          </w:p>
        </w:tc>
        <w:tc>
          <w:tcPr>
            <w:tcW w:w="2268" w:type="dxa"/>
            <w:noWrap w:val="0"/>
            <w:vAlign w:val="center"/>
          </w:tcPr>
          <w:p>
            <w:pPr>
              <w:pStyle w:val="18"/>
            </w:pPr>
            <w:r>
              <w:t>项目通报表扬情况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平台使用年限</w:t>
            </w:r>
          </w:p>
        </w:tc>
        <w:tc>
          <w:tcPr>
            <w:tcW w:w="2835" w:type="dxa"/>
            <w:noWrap w:val="0"/>
            <w:vAlign w:val="center"/>
          </w:tcPr>
          <w:p>
            <w:pPr>
              <w:pStyle w:val="18"/>
            </w:pPr>
            <w:r>
              <w:t>考察视频监控智慧国土指挥平台可使用年限</w:t>
            </w:r>
          </w:p>
        </w:tc>
        <w:tc>
          <w:tcPr>
            <w:tcW w:w="2551" w:type="dxa"/>
            <w:noWrap w:val="0"/>
            <w:vAlign w:val="center"/>
          </w:tcPr>
          <w:p>
            <w:pPr>
              <w:pStyle w:val="18"/>
            </w:pPr>
            <w:r>
              <w:t>≥3年</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政府满意度</w:t>
            </w:r>
          </w:p>
        </w:tc>
        <w:tc>
          <w:tcPr>
            <w:tcW w:w="2835" w:type="dxa"/>
            <w:noWrap w:val="0"/>
            <w:vAlign w:val="center"/>
          </w:tcPr>
          <w:p>
            <w:pPr>
              <w:pStyle w:val="18"/>
            </w:pPr>
            <w:r>
              <w:t>政府满意度</w:t>
            </w:r>
          </w:p>
        </w:tc>
        <w:tc>
          <w:tcPr>
            <w:tcW w:w="2551" w:type="dxa"/>
            <w:noWrap w:val="0"/>
            <w:vAlign w:val="center"/>
          </w:tcPr>
          <w:p>
            <w:pPr>
              <w:pStyle w:val="18"/>
            </w:pPr>
            <w:r>
              <w:t>≥95%</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37、大厂县综合防灾专项规划绩效目标表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1.综合防灾规划将统一协调县域及中心城区防灾减灾设施，优化资源配置，实现资源共享，避免防灾资源重复建设，提高政府防灾减灾投入效率，使防灾工作“效益”最大化。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编制完成率</w:t>
            </w:r>
          </w:p>
        </w:tc>
        <w:tc>
          <w:tcPr>
            <w:tcW w:w="2835" w:type="dxa"/>
            <w:noWrap w:val="0"/>
            <w:vAlign w:val="center"/>
          </w:tcPr>
          <w:p>
            <w:pPr>
              <w:pStyle w:val="18"/>
            </w:pPr>
            <w:r>
              <w:t>实际完成的规划编制数量占应完成的规划编制数量</w:t>
            </w:r>
          </w:p>
        </w:tc>
        <w:tc>
          <w:tcPr>
            <w:tcW w:w="2551" w:type="dxa"/>
            <w:noWrap w:val="0"/>
            <w:vAlign w:val="center"/>
          </w:tcPr>
          <w:p>
            <w:pPr>
              <w:pStyle w:val="18"/>
            </w:pPr>
            <w:r>
              <w:t>100%</w:t>
            </w:r>
          </w:p>
        </w:tc>
        <w:tc>
          <w:tcPr>
            <w:tcW w:w="2268" w:type="dxa"/>
            <w:noWrap w:val="0"/>
            <w:vAlign w:val="center"/>
          </w:tcPr>
          <w:p>
            <w:pPr>
              <w:pStyle w:val="18"/>
            </w:pPr>
            <w:r>
              <w:t>《中共中央国务院关于进一步加强城市规划建设管理工作的若干意见》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验收合格的规划编制数量占总规划编制数量</w:t>
            </w:r>
          </w:p>
        </w:tc>
        <w:tc>
          <w:tcPr>
            <w:tcW w:w="2551" w:type="dxa"/>
            <w:noWrap w:val="0"/>
            <w:vAlign w:val="center"/>
          </w:tcPr>
          <w:p>
            <w:pPr>
              <w:pStyle w:val="18"/>
            </w:pPr>
            <w:r>
              <w:t>100%</w:t>
            </w:r>
          </w:p>
        </w:tc>
        <w:tc>
          <w:tcPr>
            <w:tcW w:w="2268" w:type="dxa"/>
            <w:noWrap w:val="0"/>
            <w:vAlign w:val="center"/>
          </w:tcPr>
          <w:p>
            <w:pPr>
              <w:pStyle w:val="18"/>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完成及时性</w:t>
            </w:r>
          </w:p>
        </w:tc>
        <w:tc>
          <w:tcPr>
            <w:tcW w:w="2835" w:type="dxa"/>
            <w:noWrap w:val="0"/>
            <w:vAlign w:val="center"/>
          </w:tcPr>
          <w:p>
            <w:pPr>
              <w:pStyle w:val="18"/>
            </w:pPr>
            <w:r>
              <w:t>依据合同约定时间完成</w:t>
            </w:r>
          </w:p>
        </w:tc>
        <w:tc>
          <w:tcPr>
            <w:tcW w:w="2551" w:type="dxa"/>
            <w:noWrap w:val="0"/>
            <w:vAlign w:val="center"/>
          </w:tcPr>
          <w:p>
            <w:pPr>
              <w:pStyle w:val="18"/>
            </w:pPr>
            <w:r>
              <w:t>12月</w:t>
            </w:r>
          </w:p>
        </w:tc>
        <w:tc>
          <w:tcPr>
            <w:tcW w:w="2268" w:type="dxa"/>
            <w:noWrap w:val="0"/>
            <w:vAlign w:val="center"/>
          </w:tcPr>
          <w:p>
            <w:pPr>
              <w:pStyle w:val="18"/>
            </w:pPr>
            <w:r>
              <w:t>依照合同工期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防灾资源重复建设降低率</w:t>
            </w:r>
          </w:p>
        </w:tc>
        <w:tc>
          <w:tcPr>
            <w:tcW w:w="2835" w:type="dxa"/>
            <w:noWrap w:val="0"/>
            <w:vAlign w:val="center"/>
          </w:tcPr>
          <w:p>
            <w:pPr>
              <w:pStyle w:val="18"/>
            </w:pPr>
            <w:r>
              <w:t>通过大厂县综合防灾专项规划项目的开展，有效降低灾害的发生</w:t>
            </w:r>
          </w:p>
        </w:tc>
        <w:tc>
          <w:tcPr>
            <w:tcW w:w="2551" w:type="dxa"/>
            <w:noWrap w:val="0"/>
            <w:vAlign w:val="center"/>
          </w:tcPr>
          <w:p>
            <w:pPr>
              <w:pStyle w:val="18"/>
            </w:pPr>
            <w:r>
              <w:t>≥90%</w:t>
            </w:r>
          </w:p>
        </w:tc>
        <w:tc>
          <w:tcPr>
            <w:tcW w:w="2268" w:type="dxa"/>
            <w:noWrap w:val="0"/>
            <w:vAlign w:val="center"/>
          </w:tcPr>
          <w:p>
            <w:pPr>
              <w:pStyle w:val="18"/>
            </w:pPr>
            <w:r>
              <w:t>实际调查情况或者工作笔录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规划编制使用年限</w:t>
            </w:r>
          </w:p>
        </w:tc>
        <w:tc>
          <w:tcPr>
            <w:tcW w:w="2835" w:type="dxa"/>
            <w:noWrap w:val="0"/>
            <w:vAlign w:val="center"/>
          </w:tcPr>
          <w:p>
            <w:pPr>
              <w:pStyle w:val="18"/>
            </w:pPr>
            <w:r>
              <w:t>大厂县综合防灾专项规划使用年限</w:t>
            </w:r>
          </w:p>
        </w:tc>
        <w:tc>
          <w:tcPr>
            <w:tcW w:w="2551" w:type="dxa"/>
            <w:noWrap w:val="0"/>
            <w:vAlign w:val="center"/>
          </w:tcPr>
          <w:p>
            <w:pPr>
              <w:pStyle w:val="18"/>
            </w:pPr>
            <w:r>
              <w:t>13年</w:t>
            </w:r>
          </w:p>
        </w:tc>
        <w:tc>
          <w:tcPr>
            <w:tcW w:w="2268" w:type="dxa"/>
            <w:noWrap w:val="0"/>
            <w:vAlign w:val="center"/>
          </w:tcPr>
          <w:p>
            <w:pPr>
              <w:pStyle w:val="18"/>
            </w:pPr>
            <w:r>
              <w:t>规划报告或者规划编制图纸及实际需求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38、档案工作“三年上水平”经费绩效目标表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1.通过项目的开展，力争立档单位达到3A以上水平。</w:t>
            </w:r>
          </w:p>
          <w:p>
            <w:pPr>
              <w:pStyle w:val="18"/>
            </w:pPr>
            <w:r>
              <w:t>2.通过项目的开展，力争立档单位达到4A以上水平。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档案数量</w:t>
            </w:r>
          </w:p>
        </w:tc>
        <w:tc>
          <w:tcPr>
            <w:tcW w:w="2835" w:type="dxa"/>
            <w:noWrap w:val="0"/>
            <w:vAlign w:val="center"/>
          </w:tcPr>
          <w:p>
            <w:pPr>
              <w:pStyle w:val="18"/>
            </w:pPr>
            <w:r>
              <w:t>纸质文件</w:t>
            </w:r>
          </w:p>
        </w:tc>
        <w:tc>
          <w:tcPr>
            <w:tcW w:w="2551" w:type="dxa"/>
            <w:noWrap w:val="0"/>
            <w:vAlign w:val="center"/>
          </w:tcPr>
          <w:p>
            <w:pPr>
              <w:pStyle w:val="18"/>
            </w:pPr>
            <w:r>
              <w:t>≥62万件</w:t>
            </w:r>
          </w:p>
        </w:tc>
        <w:tc>
          <w:tcPr>
            <w:tcW w:w="2268" w:type="dxa"/>
            <w:noWrap w:val="0"/>
            <w:vAlign w:val="center"/>
          </w:tcPr>
          <w:p>
            <w:pPr>
              <w:pStyle w:val="18"/>
            </w:pPr>
            <w:r>
              <w:t>依实际情况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验收情况</w:t>
            </w:r>
          </w:p>
        </w:tc>
        <w:tc>
          <w:tcPr>
            <w:tcW w:w="2551" w:type="dxa"/>
            <w:noWrap w:val="0"/>
            <w:vAlign w:val="center"/>
          </w:tcPr>
          <w:p>
            <w:pPr>
              <w:pStyle w:val="18"/>
            </w:pPr>
            <w:r>
              <w:t>≥95%</w:t>
            </w:r>
          </w:p>
        </w:tc>
        <w:tc>
          <w:tcPr>
            <w:tcW w:w="2268" w:type="dxa"/>
            <w:noWrap w:val="0"/>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整理时限</w:t>
            </w:r>
          </w:p>
        </w:tc>
        <w:tc>
          <w:tcPr>
            <w:tcW w:w="2835" w:type="dxa"/>
            <w:noWrap w:val="0"/>
            <w:vAlign w:val="center"/>
          </w:tcPr>
          <w:p>
            <w:pPr>
              <w:pStyle w:val="18"/>
            </w:pPr>
            <w:r>
              <w:t>完成时间</w:t>
            </w:r>
          </w:p>
        </w:tc>
        <w:tc>
          <w:tcPr>
            <w:tcW w:w="2551" w:type="dxa"/>
            <w:noWrap w:val="0"/>
            <w:vAlign w:val="center"/>
          </w:tcPr>
          <w:p>
            <w:pPr>
              <w:pStyle w:val="18"/>
            </w:pPr>
            <w:r>
              <w:t>≤12月</w:t>
            </w:r>
          </w:p>
        </w:tc>
        <w:tc>
          <w:tcPr>
            <w:tcW w:w="2268" w:type="dxa"/>
            <w:noWrap w:val="0"/>
            <w:vAlign w:val="center"/>
          </w:tcPr>
          <w:p>
            <w:pPr>
              <w:pStyle w:val="18"/>
            </w:pPr>
            <w:r>
              <w:t>依实际情况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项目预算书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档案使用率</w:t>
            </w:r>
          </w:p>
        </w:tc>
        <w:tc>
          <w:tcPr>
            <w:tcW w:w="2835" w:type="dxa"/>
            <w:noWrap w:val="0"/>
            <w:vAlign w:val="center"/>
          </w:tcPr>
          <w:p>
            <w:pPr>
              <w:pStyle w:val="18"/>
            </w:pPr>
            <w:r>
              <w:t>档案库实际是否投入使用</w:t>
            </w:r>
          </w:p>
        </w:tc>
        <w:tc>
          <w:tcPr>
            <w:tcW w:w="2551" w:type="dxa"/>
            <w:noWrap w:val="0"/>
            <w:vAlign w:val="center"/>
          </w:tcPr>
          <w:p>
            <w:pPr>
              <w:pStyle w:val="18"/>
            </w:pPr>
            <w:r>
              <w:t>100%</w:t>
            </w:r>
          </w:p>
        </w:tc>
        <w:tc>
          <w:tcPr>
            <w:tcW w:w="2268" w:type="dxa"/>
            <w:noWrap w:val="0"/>
            <w:vAlign w:val="center"/>
          </w:tcPr>
          <w:p>
            <w:pPr>
              <w:pStyle w:val="18"/>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存储年限</w:t>
            </w:r>
          </w:p>
        </w:tc>
        <w:tc>
          <w:tcPr>
            <w:tcW w:w="2835" w:type="dxa"/>
            <w:noWrap w:val="0"/>
            <w:vAlign w:val="center"/>
          </w:tcPr>
          <w:p>
            <w:pPr>
              <w:pStyle w:val="18"/>
            </w:pPr>
            <w:r>
              <w:t>档案完整性和长久性</w:t>
            </w:r>
          </w:p>
        </w:tc>
        <w:tc>
          <w:tcPr>
            <w:tcW w:w="2551" w:type="dxa"/>
            <w:noWrap w:val="0"/>
            <w:vAlign w:val="center"/>
          </w:tcPr>
          <w:p>
            <w:pPr>
              <w:pStyle w:val="18"/>
            </w:pPr>
            <w:r>
              <w:t>≤50年</w:t>
            </w:r>
          </w:p>
        </w:tc>
        <w:tc>
          <w:tcPr>
            <w:tcW w:w="2268" w:type="dxa"/>
            <w:noWrap w:val="0"/>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群众满意度</w:t>
            </w:r>
          </w:p>
        </w:tc>
        <w:tc>
          <w:tcPr>
            <w:tcW w:w="2835" w:type="dxa"/>
            <w:noWrap w:val="0"/>
            <w:vAlign w:val="center"/>
          </w:tcPr>
          <w:p>
            <w:pPr>
              <w:pStyle w:val="18"/>
            </w:pPr>
            <w:r>
              <w:t>全体干部职工</w:t>
            </w:r>
          </w:p>
        </w:tc>
        <w:tc>
          <w:tcPr>
            <w:tcW w:w="2551" w:type="dxa"/>
            <w:noWrap w:val="0"/>
            <w:vAlign w:val="center"/>
          </w:tcPr>
          <w:p>
            <w:pPr>
              <w:pStyle w:val="18"/>
            </w:pPr>
            <w:r>
              <w:t>≥95百分比</w:t>
            </w:r>
          </w:p>
        </w:tc>
        <w:tc>
          <w:tcPr>
            <w:tcW w:w="2268" w:type="dxa"/>
            <w:noWrap w:val="0"/>
            <w:vAlign w:val="center"/>
          </w:tcPr>
          <w:p>
            <w:pPr>
              <w:pStyle w:val="18"/>
            </w:pPr>
            <w:r>
              <w:t>反馈率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39、耕地后备资源调查经费绩效目标表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1.以第三次全国国土调查和2020年度国土变更调查成果为基础，以其他草地、盐碱地、沙地、裸地为评价对象，按照耕地后备资源跟雷评价指标体系，逐地块开展调查评价，形成一体的耕地后备资源潜力数据库。</w:t>
            </w:r>
          </w:p>
          <w:p>
            <w:pPr>
              <w:pStyle w:val="18"/>
            </w:pPr>
            <w:r>
              <w:t>2.通过项目的开展，为科学合理开发耕地后备资源、规范占补平衡管理提供支撑。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编制数量</w:t>
            </w:r>
          </w:p>
        </w:tc>
        <w:tc>
          <w:tcPr>
            <w:tcW w:w="2835" w:type="dxa"/>
            <w:noWrap w:val="0"/>
            <w:vAlign w:val="center"/>
          </w:tcPr>
          <w:p>
            <w:pPr>
              <w:pStyle w:val="18"/>
            </w:pPr>
            <w:r>
              <w:t>编制全县耕地后备资源数据库</w:t>
            </w:r>
          </w:p>
        </w:tc>
        <w:tc>
          <w:tcPr>
            <w:tcW w:w="2551" w:type="dxa"/>
            <w:noWrap w:val="0"/>
            <w:vAlign w:val="center"/>
          </w:tcPr>
          <w:p>
            <w:pPr>
              <w:pStyle w:val="18"/>
            </w:pPr>
            <w:r>
              <w:t>1项</w:t>
            </w:r>
          </w:p>
        </w:tc>
        <w:tc>
          <w:tcPr>
            <w:tcW w:w="2268" w:type="dxa"/>
            <w:noWrap w:val="0"/>
            <w:vAlign w:val="center"/>
          </w:tcPr>
          <w:p>
            <w:pPr>
              <w:pStyle w:val="18"/>
            </w:pPr>
            <w:r>
              <w:t>《河北省自然资源厅关于开展耕地后备资源调查评价工作的通知》（冀自然资字[2021]97号）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编制覆盖率</w:t>
            </w:r>
          </w:p>
        </w:tc>
        <w:tc>
          <w:tcPr>
            <w:tcW w:w="2835" w:type="dxa"/>
            <w:noWrap w:val="0"/>
            <w:vAlign w:val="center"/>
          </w:tcPr>
          <w:p>
            <w:pPr>
              <w:pStyle w:val="18"/>
            </w:pPr>
            <w:r>
              <w:t>项目技术成果覆盖全县耕地后备资源相关情况比例</w:t>
            </w:r>
          </w:p>
        </w:tc>
        <w:tc>
          <w:tcPr>
            <w:tcW w:w="2551" w:type="dxa"/>
            <w:noWrap w:val="0"/>
            <w:vAlign w:val="center"/>
          </w:tcPr>
          <w:p>
            <w:pPr>
              <w:pStyle w:val="18"/>
            </w:pPr>
            <w:r>
              <w:t>100%</w:t>
            </w:r>
          </w:p>
        </w:tc>
        <w:tc>
          <w:tcPr>
            <w:tcW w:w="2268" w:type="dxa"/>
            <w:noWrap w:val="0"/>
            <w:vAlign w:val="center"/>
          </w:tcPr>
          <w:p>
            <w:pPr>
              <w:pStyle w:val="18"/>
            </w:pPr>
            <w:r>
              <w:t>项目设计报告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更新成果完成时间</w:t>
            </w:r>
          </w:p>
        </w:tc>
        <w:tc>
          <w:tcPr>
            <w:tcW w:w="2551" w:type="dxa"/>
            <w:noWrap w:val="0"/>
            <w:vAlign w:val="center"/>
          </w:tcPr>
          <w:p>
            <w:pPr>
              <w:pStyle w:val="18"/>
            </w:pPr>
            <w:r>
              <w:t>按期完成</w:t>
            </w:r>
          </w:p>
        </w:tc>
        <w:tc>
          <w:tcPr>
            <w:tcW w:w="2268" w:type="dxa"/>
            <w:noWrap w:val="0"/>
            <w:vAlign w:val="center"/>
          </w:tcPr>
          <w:p>
            <w:pPr>
              <w:pStyle w:val="18"/>
            </w:pPr>
            <w:r>
              <w:t>省级部门要求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超概算金额占预算资金的比例</w:t>
            </w:r>
          </w:p>
        </w:tc>
        <w:tc>
          <w:tcPr>
            <w:tcW w:w="2551" w:type="dxa"/>
            <w:noWrap w:val="0"/>
            <w:vAlign w:val="center"/>
          </w:tcPr>
          <w:p>
            <w:pPr>
              <w:pStyle w:val="18"/>
            </w:pPr>
            <w:r>
              <w:t>≤10%</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提供数据准确率</w:t>
            </w:r>
          </w:p>
        </w:tc>
        <w:tc>
          <w:tcPr>
            <w:tcW w:w="2835" w:type="dxa"/>
            <w:noWrap w:val="0"/>
            <w:vAlign w:val="center"/>
          </w:tcPr>
          <w:p>
            <w:pPr>
              <w:pStyle w:val="18"/>
            </w:pPr>
            <w:r>
              <w:t>建立后备资源数据库，长远科学的为我县开展占补平衡项目提供依据</w:t>
            </w:r>
          </w:p>
        </w:tc>
        <w:tc>
          <w:tcPr>
            <w:tcW w:w="2551" w:type="dxa"/>
            <w:noWrap w:val="0"/>
            <w:vAlign w:val="center"/>
          </w:tcPr>
          <w:p>
            <w:pPr>
              <w:pStyle w:val="18"/>
            </w:pPr>
            <w:r>
              <w:t>100%</w:t>
            </w:r>
          </w:p>
        </w:tc>
        <w:tc>
          <w:tcPr>
            <w:tcW w:w="2268" w:type="dxa"/>
            <w:noWrap w:val="0"/>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数据库使用年限</w:t>
            </w:r>
          </w:p>
        </w:tc>
        <w:tc>
          <w:tcPr>
            <w:tcW w:w="2835" w:type="dxa"/>
            <w:noWrap w:val="0"/>
            <w:vAlign w:val="center"/>
          </w:tcPr>
          <w:p>
            <w:pPr>
              <w:pStyle w:val="18"/>
            </w:pPr>
            <w:r>
              <w:t>数据库使用年限</w:t>
            </w:r>
          </w:p>
        </w:tc>
        <w:tc>
          <w:tcPr>
            <w:tcW w:w="2551" w:type="dxa"/>
            <w:noWrap w:val="0"/>
            <w:vAlign w:val="center"/>
          </w:tcPr>
          <w:p>
            <w:pPr>
              <w:pStyle w:val="18"/>
            </w:pPr>
            <w:r>
              <w:t>≥3年</w:t>
            </w:r>
          </w:p>
        </w:tc>
        <w:tc>
          <w:tcPr>
            <w:tcW w:w="2268" w:type="dxa"/>
            <w:noWrap w:val="0"/>
            <w:vAlign w:val="center"/>
          </w:tcPr>
          <w:p>
            <w:pPr>
              <w:pStyle w:val="18"/>
            </w:pPr>
            <w:r>
              <w:t>满意度调查问卷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数据库使用者满意度</w:t>
            </w:r>
          </w:p>
        </w:tc>
        <w:tc>
          <w:tcPr>
            <w:tcW w:w="2835" w:type="dxa"/>
            <w:noWrap w:val="0"/>
            <w:vAlign w:val="center"/>
          </w:tcPr>
          <w:p>
            <w:pPr>
              <w:pStyle w:val="18"/>
            </w:pPr>
            <w:r>
              <w:t>考察数据库使用者满意度</w:t>
            </w:r>
          </w:p>
        </w:tc>
        <w:tc>
          <w:tcPr>
            <w:tcW w:w="2551" w:type="dxa"/>
            <w:noWrap w:val="0"/>
            <w:vAlign w:val="center"/>
          </w:tcPr>
          <w:p>
            <w:pPr>
              <w:pStyle w:val="18"/>
            </w:pPr>
            <w:r>
              <w:t>≥90%</w:t>
            </w:r>
          </w:p>
        </w:tc>
        <w:tc>
          <w:tcPr>
            <w:tcW w:w="2268" w:type="dxa"/>
            <w:noWrap w:val="0"/>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40、耕地质量分等定级调查评价资金绩效目标表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1.全面掌握年度内耕地现状因变化而引起的耕地质量等别变化的情况，保持全县耕地质量等别数据的现势性，真实准确地掌握耕地质量等别数据，做到耕地质量等别成果动态更新。</w:t>
            </w:r>
          </w:p>
          <w:p>
            <w:pPr>
              <w:pStyle w:val="18"/>
            </w:pPr>
            <w:r>
              <w:t>2.通过项目的开展，对评价结果进行更新完善，并开展耕地质量等级和耕地分等定级专项数据库。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编制数量</w:t>
            </w:r>
          </w:p>
        </w:tc>
        <w:tc>
          <w:tcPr>
            <w:tcW w:w="2835" w:type="dxa"/>
            <w:noWrap w:val="0"/>
            <w:vAlign w:val="center"/>
          </w:tcPr>
          <w:p>
            <w:pPr>
              <w:pStyle w:val="18"/>
            </w:pPr>
            <w:r>
              <w:t>更新全县耕地质量分等定级相关数据库数量</w:t>
            </w:r>
          </w:p>
        </w:tc>
        <w:tc>
          <w:tcPr>
            <w:tcW w:w="2551" w:type="dxa"/>
            <w:noWrap w:val="0"/>
            <w:vAlign w:val="center"/>
          </w:tcPr>
          <w:p>
            <w:pPr>
              <w:pStyle w:val="18"/>
            </w:pPr>
            <w:r>
              <w:t>1项</w:t>
            </w:r>
          </w:p>
        </w:tc>
        <w:tc>
          <w:tcPr>
            <w:tcW w:w="2268" w:type="dxa"/>
            <w:noWrap w:val="0"/>
            <w:vAlign w:val="center"/>
          </w:tcPr>
          <w:p>
            <w:pPr>
              <w:pStyle w:val="18"/>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编制覆盖率</w:t>
            </w:r>
          </w:p>
        </w:tc>
        <w:tc>
          <w:tcPr>
            <w:tcW w:w="2835" w:type="dxa"/>
            <w:noWrap w:val="0"/>
            <w:vAlign w:val="center"/>
          </w:tcPr>
          <w:p>
            <w:pPr>
              <w:pStyle w:val="18"/>
            </w:pPr>
            <w:r>
              <w:t>项目技术成果覆盖全县耕地质量相关情况比例</w:t>
            </w:r>
          </w:p>
        </w:tc>
        <w:tc>
          <w:tcPr>
            <w:tcW w:w="2551" w:type="dxa"/>
            <w:noWrap w:val="0"/>
            <w:vAlign w:val="center"/>
          </w:tcPr>
          <w:p>
            <w:pPr>
              <w:pStyle w:val="18"/>
            </w:pPr>
            <w:r>
              <w:t>100%</w:t>
            </w:r>
          </w:p>
        </w:tc>
        <w:tc>
          <w:tcPr>
            <w:tcW w:w="2268" w:type="dxa"/>
            <w:noWrap w:val="0"/>
            <w:vAlign w:val="center"/>
          </w:tcPr>
          <w:p>
            <w:pPr>
              <w:pStyle w:val="18"/>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更新成果完成时间</w:t>
            </w:r>
          </w:p>
        </w:tc>
        <w:tc>
          <w:tcPr>
            <w:tcW w:w="2551" w:type="dxa"/>
            <w:noWrap w:val="0"/>
            <w:vAlign w:val="center"/>
          </w:tcPr>
          <w:p>
            <w:pPr>
              <w:pStyle w:val="18"/>
            </w:pPr>
            <w:r>
              <w:t>及时</w:t>
            </w:r>
          </w:p>
        </w:tc>
        <w:tc>
          <w:tcPr>
            <w:tcW w:w="2268" w:type="dxa"/>
            <w:noWrap w:val="0"/>
            <w:vAlign w:val="center"/>
          </w:tcPr>
          <w:p>
            <w:pPr>
              <w:pStyle w:val="18"/>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超预算金额占预算资金的比例</w:t>
            </w:r>
          </w:p>
        </w:tc>
        <w:tc>
          <w:tcPr>
            <w:tcW w:w="2551" w:type="dxa"/>
            <w:noWrap w:val="0"/>
            <w:vAlign w:val="center"/>
          </w:tcPr>
          <w:p>
            <w:pPr>
              <w:pStyle w:val="18"/>
            </w:pPr>
            <w:r>
              <w:t>≤10%</w:t>
            </w:r>
          </w:p>
        </w:tc>
        <w:tc>
          <w:tcPr>
            <w:tcW w:w="2268" w:type="dxa"/>
            <w:noWrap w:val="0"/>
            <w:vAlign w:val="center"/>
          </w:tcPr>
          <w:p>
            <w:pPr>
              <w:pStyle w:val="18"/>
            </w:pPr>
            <w: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提供数据依据准确率</w:t>
            </w:r>
          </w:p>
        </w:tc>
        <w:tc>
          <w:tcPr>
            <w:tcW w:w="2835" w:type="dxa"/>
            <w:noWrap w:val="0"/>
            <w:vAlign w:val="center"/>
          </w:tcPr>
          <w:p>
            <w:pPr>
              <w:pStyle w:val="18"/>
            </w:pPr>
            <w:r>
              <w:t>有效的监管县域内耕地质量的变化情况，为土地规划修改、耕地产能测算、耕地保护政策提供准确科学依据。如该项目工作未如期完成，我县项目用地不能正常组卷上报</w:t>
            </w:r>
          </w:p>
        </w:tc>
        <w:tc>
          <w:tcPr>
            <w:tcW w:w="2551" w:type="dxa"/>
            <w:noWrap w:val="0"/>
            <w:vAlign w:val="center"/>
          </w:tcPr>
          <w:p>
            <w:pPr>
              <w:pStyle w:val="18"/>
            </w:pPr>
            <w:r>
              <w:t>100%</w:t>
            </w:r>
          </w:p>
        </w:tc>
        <w:tc>
          <w:tcPr>
            <w:tcW w:w="2268" w:type="dxa"/>
            <w:noWrap w:val="0"/>
            <w:vAlign w:val="center"/>
          </w:tcPr>
          <w:p>
            <w:pPr>
              <w:pStyle w:val="18"/>
            </w:pPr>
            <w:r>
              <w:t>获得省级验收通过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数据库有效使用年限</w:t>
            </w:r>
          </w:p>
        </w:tc>
        <w:tc>
          <w:tcPr>
            <w:tcW w:w="2835" w:type="dxa"/>
            <w:noWrap w:val="0"/>
            <w:vAlign w:val="center"/>
          </w:tcPr>
          <w:p>
            <w:pPr>
              <w:pStyle w:val="18"/>
            </w:pPr>
            <w:r>
              <w:t>根据上级通知要求的数据库有效使用年限</w:t>
            </w:r>
          </w:p>
        </w:tc>
        <w:tc>
          <w:tcPr>
            <w:tcW w:w="2551" w:type="dxa"/>
            <w:noWrap w:val="0"/>
            <w:vAlign w:val="center"/>
          </w:tcPr>
          <w:p>
            <w:pPr>
              <w:pStyle w:val="18"/>
            </w:pPr>
            <w:r>
              <w:t>1年</w:t>
            </w:r>
          </w:p>
        </w:tc>
        <w:tc>
          <w:tcPr>
            <w:tcW w:w="2268" w:type="dxa"/>
            <w:noWrap w:val="0"/>
            <w:vAlign w:val="center"/>
          </w:tcPr>
          <w:p>
            <w:pPr>
              <w:pStyle w:val="18"/>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省级验收意见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41、古树名木修缮 养护费绩效目标表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1.通过对古树名木进行调查登记、修缮管理，使古树名木得到很好的养护，健康生长。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修缮养护古树古木数量</w:t>
            </w:r>
          </w:p>
        </w:tc>
        <w:tc>
          <w:tcPr>
            <w:tcW w:w="2835" w:type="dxa"/>
            <w:noWrap w:val="0"/>
            <w:vAlign w:val="center"/>
          </w:tcPr>
          <w:p>
            <w:pPr>
              <w:pStyle w:val="18"/>
            </w:pPr>
            <w:r>
              <w:t>修缮古树名木株数</w:t>
            </w:r>
          </w:p>
        </w:tc>
        <w:tc>
          <w:tcPr>
            <w:tcW w:w="2551" w:type="dxa"/>
            <w:noWrap w:val="0"/>
            <w:vAlign w:val="center"/>
          </w:tcPr>
          <w:p>
            <w:pPr>
              <w:pStyle w:val="18"/>
            </w:pPr>
            <w:r>
              <w:t>≥5株</w:t>
            </w:r>
          </w:p>
        </w:tc>
        <w:tc>
          <w:tcPr>
            <w:tcW w:w="2268" w:type="dxa"/>
            <w:noWrap w:val="0"/>
            <w:vAlign w:val="center"/>
          </w:tcPr>
          <w:p>
            <w:pPr>
              <w:pStyle w:val="18"/>
            </w:pPr>
            <w: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古树修复合格率</w:t>
            </w:r>
          </w:p>
        </w:tc>
        <w:tc>
          <w:tcPr>
            <w:tcW w:w="2835" w:type="dxa"/>
            <w:noWrap w:val="0"/>
            <w:vAlign w:val="center"/>
          </w:tcPr>
          <w:p>
            <w:pPr>
              <w:pStyle w:val="18"/>
            </w:pPr>
            <w:r>
              <w:t>古树修复合格的数量占总数量的比例</w:t>
            </w:r>
          </w:p>
        </w:tc>
        <w:tc>
          <w:tcPr>
            <w:tcW w:w="2551" w:type="dxa"/>
            <w:noWrap w:val="0"/>
            <w:vAlign w:val="center"/>
          </w:tcPr>
          <w:p>
            <w:pPr>
              <w:pStyle w:val="18"/>
            </w:pPr>
            <w:r>
              <w:t>≤100%</w:t>
            </w:r>
          </w:p>
        </w:tc>
        <w:tc>
          <w:tcPr>
            <w:tcW w:w="2268" w:type="dxa"/>
            <w:noWrap w:val="0"/>
            <w:vAlign w:val="center"/>
          </w:tcPr>
          <w:p>
            <w:pPr>
              <w:pStyle w:val="18"/>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修缮完成时间</w:t>
            </w:r>
          </w:p>
        </w:tc>
        <w:tc>
          <w:tcPr>
            <w:tcW w:w="2835" w:type="dxa"/>
            <w:noWrap w:val="0"/>
            <w:vAlign w:val="center"/>
          </w:tcPr>
          <w:p>
            <w:pPr>
              <w:pStyle w:val="18"/>
            </w:pPr>
            <w:r>
              <w:t>修缮管理完成的月份</w:t>
            </w:r>
          </w:p>
        </w:tc>
        <w:tc>
          <w:tcPr>
            <w:tcW w:w="2551" w:type="dxa"/>
            <w:noWrap w:val="0"/>
            <w:vAlign w:val="center"/>
          </w:tcPr>
          <w:p>
            <w:pPr>
              <w:pStyle w:val="18"/>
            </w:pPr>
            <w:r>
              <w:t>10月</w:t>
            </w:r>
          </w:p>
        </w:tc>
        <w:tc>
          <w:tcPr>
            <w:tcW w:w="2268" w:type="dxa"/>
            <w:noWrap w:val="0"/>
            <w:vAlign w:val="center"/>
          </w:tcPr>
          <w:p>
            <w:pPr>
              <w:pStyle w:val="18"/>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超预算金额占预算资金的比例</w:t>
            </w:r>
          </w:p>
        </w:tc>
        <w:tc>
          <w:tcPr>
            <w:tcW w:w="2551" w:type="dxa"/>
            <w:noWrap w:val="0"/>
            <w:vAlign w:val="center"/>
          </w:tcPr>
          <w:p>
            <w:pPr>
              <w:pStyle w:val="18"/>
            </w:pPr>
            <w:r>
              <w:t>10%</w:t>
            </w:r>
          </w:p>
        </w:tc>
        <w:tc>
          <w:tcPr>
            <w:tcW w:w="2268" w:type="dxa"/>
            <w:noWrap w:val="0"/>
            <w:vAlign w:val="center"/>
          </w:tcPr>
          <w:p>
            <w:pPr>
              <w:pStyle w:val="18"/>
            </w:pPr>
            <w:r>
              <w:t>上一年财政预算和市场价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古树保存率</w:t>
            </w:r>
          </w:p>
        </w:tc>
        <w:tc>
          <w:tcPr>
            <w:tcW w:w="2835" w:type="dxa"/>
            <w:noWrap w:val="0"/>
            <w:vAlign w:val="center"/>
          </w:tcPr>
          <w:p>
            <w:pPr>
              <w:pStyle w:val="18"/>
            </w:pPr>
            <w:r>
              <w:t>通过对古树的修复养护</w:t>
            </w:r>
          </w:p>
        </w:tc>
        <w:tc>
          <w:tcPr>
            <w:tcW w:w="2551" w:type="dxa"/>
            <w:noWrap w:val="0"/>
            <w:vAlign w:val="center"/>
          </w:tcPr>
          <w:p>
            <w:pPr>
              <w:pStyle w:val="18"/>
            </w:pPr>
            <w:r>
              <w:t>≥90%</w:t>
            </w:r>
          </w:p>
        </w:tc>
        <w:tc>
          <w:tcPr>
            <w:tcW w:w="2268" w:type="dxa"/>
            <w:noWrap w:val="0"/>
            <w:vAlign w:val="center"/>
          </w:tcPr>
          <w:p>
            <w:pPr>
              <w:pStyle w:val="18"/>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苗木的成活时间</w:t>
            </w:r>
          </w:p>
        </w:tc>
        <w:tc>
          <w:tcPr>
            <w:tcW w:w="2835" w:type="dxa"/>
            <w:noWrap w:val="0"/>
            <w:vAlign w:val="center"/>
          </w:tcPr>
          <w:p>
            <w:pPr>
              <w:pStyle w:val="18"/>
            </w:pPr>
            <w:r>
              <w:t>苗木的成活时间</w:t>
            </w:r>
          </w:p>
        </w:tc>
        <w:tc>
          <w:tcPr>
            <w:tcW w:w="2551" w:type="dxa"/>
            <w:noWrap w:val="0"/>
            <w:vAlign w:val="center"/>
          </w:tcPr>
          <w:p>
            <w:pPr>
              <w:pStyle w:val="18"/>
            </w:pPr>
            <w:r>
              <w:t>≥10年</w:t>
            </w:r>
          </w:p>
        </w:tc>
        <w:tc>
          <w:tcPr>
            <w:tcW w:w="2268" w:type="dxa"/>
            <w:noWrap w:val="0"/>
            <w:vAlign w:val="center"/>
          </w:tcPr>
          <w:p>
            <w:pPr>
              <w:pStyle w:val="18"/>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满意人数占总人数的比例</w:t>
            </w:r>
          </w:p>
        </w:tc>
        <w:tc>
          <w:tcPr>
            <w:tcW w:w="2835" w:type="dxa"/>
            <w:noWrap w:val="0"/>
            <w:vAlign w:val="center"/>
          </w:tcPr>
          <w:p>
            <w:pPr>
              <w:pStyle w:val="18"/>
            </w:pPr>
            <w:r>
              <w:t>满意度每下降5%，扣分值10%</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42、关于提前下达2022年中央财政林业改革发展资金预算的通知（冀财资环【2021】106号）绩效目标表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1.通过有害生物防治，有效遏制林业有害生物的大面积发生，维护环京和县域生态安全。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面积</w:t>
            </w:r>
          </w:p>
        </w:tc>
        <w:tc>
          <w:tcPr>
            <w:tcW w:w="2835" w:type="dxa"/>
            <w:noWrap w:val="0"/>
            <w:vAlign w:val="center"/>
          </w:tcPr>
          <w:p>
            <w:pPr>
              <w:pStyle w:val="18"/>
            </w:pPr>
            <w:r>
              <w:t>林业有害生物防治面积</w:t>
            </w:r>
          </w:p>
        </w:tc>
        <w:tc>
          <w:tcPr>
            <w:tcW w:w="2551" w:type="dxa"/>
            <w:noWrap w:val="0"/>
            <w:vAlign w:val="center"/>
          </w:tcPr>
          <w:p>
            <w:pPr>
              <w:pStyle w:val="18"/>
            </w:pPr>
            <w:r>
              <w:t>≤1万亩</w:t>
            </w:r>
          </w:p>
        </w:tc>
        <w:tc>
          <w:tcPr>
            <w:tcW w:w="2268" w:type="dxa"/>
            <w:noWrap w:val="0"/>
            <w:vAlign w:val="center"/>
          </w:tcPr>
          <w:p>
            <w:pPr>
              <w:pStyle w:val="18"/>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防治率</w:t>
            </w:r>
          </w:p>
        </w:tc>
        <w:tc>
          <w:tcPr>
            <w:tcW w:w="2835" w:type="dxa"/>
            <w:noWrap w:val="0"/>
            <w:vAlign w:val="center"/>
          </w:tcPr>
          <w:p>
            <w:pPr>
              <w:pStyle w:val="18"/>
            </w:pPr>
            <w:r>
              <w:t>病虫害防治面积占虫情发生面积的比例</w:t>
            </w:r>
          </w:p>
        </w:tc>
        <w:tc>
          <w:tcPr>
            <w:tcW w:w="2551" w:type="dxa"/>
            <w:noWrap w:val="0"/>
            <w:vAlign w:val="center"/>
          </w:tcPr>
          <w:p>
            <w:pPr>
              <w:pStyle w:val="18"/>
            </w:pPr>
            <w:r>
              <w:t>≥90%</w:t>
            </w:r>
          </w:p>
        </w:tc>
        <w:tc>
          <w:tcPr>
            <w:tcW w:w="2268" w:type="dxa"/>
            <w:noWrap w:val="0"/>
            <w:vAlign w:val="center"/>
          </w:tcPr>
          <w:p>
            <w:pPr>
              <w:pStyle w:val="18"/>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防治完成时间</w:t>
            </w:r>
          </w:p>
        </w:tc>
        <w:tc>
          <w:tcPr>
            <w:tcW w:w="2835" w:type="dxa"/>
            <w:noWrap w:val="0"/>
            <w:vAlign w:val="center"/>
          </w:tcPr>
          <w:p>
            <w:pPr>
              <w:pStyle w:val="18"/>
            </w:pPr>
            <w:r>
              <w:t>按防治计划完成防治的月份</w:t>
            </w:r>
          </w:p>
        </w:tc>
        <w:tc>
          <w:tcPr>
            <w:tcW w:w="2551" w:type="dxa"/>
            <w:noWrap w:val="0"/>
            <w:vAlign w:val="center"/>
          </w:tcPr>
          <w:p>
            <w:pPr>
              <w:pStyle w:val="18"/>
            </w:pPr>
            <w:r>
              <w:t>12月</w:t>
            </w:r>
          </w:p>
        </w:tc>
        <w:tc>
          <w:tcPr>
            <w:tcW w:w="2268" w:type="dxa"/>
            <w:noWrap w:val="0"/>
            <w:vAlign w:val="center"/>
          </w:tcPr>
          <w:p>
            <w:pPr>
              <w:pStyle w:val="18"/>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防治费用</w:t>
            </w:r>
          </w:p>
        </w:tc>
        <w:tc>
          <w:tcPr>
            <w:tcW w:w="2835" w:type="dxa"/>
            <w:noWrap w:val="0"/>
            <w:vAlign w:val="center"/>
          </w:tcPr>
          <w:p>
            <w:pPr>
              <w:pStyle w:val="18"/>
            </w:pPr>
            <w:r>
              <w:t>防治服务总费用</w:t>
            </w:r>
          </w:p>
        </w:tc>
        <w:tc>
          <w:tcPr>
            <w:tcW w:w="2551" w:type="dxa"/>
            <w:noWrap w:val="0"/>
            <w:vAlign w:val="center"/>
          </w:tcPr>
          <w:p>
            <w:pPr>
              <w:pStyle w:val="18"/>
            </w:pPr>
            <w:r>
              <w:t>≤20万元</w:t>
            </w:r>
          </w:p>
        </w:tc>
        <w:tc>
          <w:tcPr>
            <w:tcW w:w="2268" w:type="dxa"/>
            <w:noWrap w:val="0"/>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成灾率</w:t>
            </w:r>
          </w:p>
        </w:tc>
        <w:tc>
          <w:tcPr>
            <w:tcW w:w="2835" w:type="dxa"/>
            <w:noWrap w:val="0"/>
            <w:vAlign w:val="center"/>
          </w:tcPr>
          <w:p>
            <w:pPr>
              <w:pStyle w:val="18"/>
            </w:pPr>
            <w:r>
              <w:t>年度成灾率</w:t>
            </w:r>
          </w:p>
        </w:tc>
        <w:tc>
          <w:tcPr>
            <w:tcW w:w="2551" w:type="dxa"/>
            <w:noWrap w:val="0"/>
            <w:vAlign w:val="center"/>
          </w:tcPr>
          <w:p>
            <w:pPr>
              <w:pStyle w:val="18"/>
            </w:pPr>
            <w:r>
              <w:t>≤4‰</w:t>
            </w:r>
          </w:p>
        </w:tc>
        <w:tc>
          <w:tcPr>
            <w:tcW w:w="2268" w:type="dxa"/>
            <w:noWrap w:val="0"/>
            <w:vAlign w:val="center"/>
          </w:tcPr>
          <w:p>
            <w:pPr>
              <w:pStyle w:val="18"/>
            </w:pPr>
            <w:r>
              <w:t>文件要求或实际调查情况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生态效益指标</w:t>
            </w:r>
          </w:p>
        </w:tc>
        <w:tc>
          <w:tcPr>
            <w:tcW w:w="2835" w:type="dxa"/>
            <w:noWrap w:val="0"/>
            <w:vAlign w:val="center"/>
          </w:tcPr>
          <w:p>
            <w:pPr>
              <w:pStyle w:val="18"/>
            </w:pPr>
            <w:r>
              <w:t>叶片保存率</w:t>
            </w:r>
          </w:p>
        </w:tc>
        <w:tc>
          <w:tcPr>
            <w:tcW w:w="2835" w:type="dxa"/>
            <w:noWrap w:val="0"/>
            <w:vAlign w:val="center"/>
          </w:tcPr>
          <w:p>
            <w:pPr>
              <w:pStyle w:val="18"/>
            </w:pPr>
            <w:r>
              <w:t>叶片保存面积占防治林木总面积比例</w:t>
            </w:r>
          </w:p>
        </w:tc>
        <w:tc>
          <w:tcPr>
            <w:tcW w:w="2551" w:type="dxa"/>
            <w:noWrap w:val="0"/>
            <w:vAlign w:val="center"/>
          </w:tcPr>
          <w:p>
            <w:pPr>
              <w:pStyle w:val="18"/>
            </w:pPr>
            <w:r>
              <w:t>≥85%</w:t>
            </w:r>
          </w:p>
        </w:tc>
        <w:tc>
          <w:tcPr>
            <w:tcW w:w="2268" w:type="dxa"/>
            <w:noWrap w:val="0"/>
            <w:vAlign w:val="center"/>
          </w:tcPr>
          <w:p>
            <w:pPr>
              <w:pStyle w:val="18"/>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有效防治时间</w:t>
            </w:r>
          </w:p>
        </w:tc>
        <w:tc>
          <w:tcPr>
            <w:tcW w:w="2835" w:type="dxa"/>
            <w:noWrap w:val="0"/>
            <w:vAlign w:val="center"/>
          </w:tcPr>
          <w:p>
            <w:pPr>
              <w:pStyle w:val="18"/>
            </w:pPr>
            <w:r>
              <w:t>防治效果持续时间</w:t>
            </w:r>
          </w:p>
        </w:tc>
        <w:tc>
          <w:tcPr>
            <w:tcW w:w="2551" w:type="dxa"/>
            <w:noWrap w:val="0"/>
            <w:vAlign w:val="center"/>
          </w:tcPr>
          <w:p>
            <w:pPr>
              <w:pStyle w:val="18"/>
            </w:pPr>
            <w:r>
              <w:t>≥10月</w:t>
            </w:r>
          </w:p>
        </w:tc>
        <w:tc>
          <w:tcPr>
            <w:tcW w:w="2268" w:type="dxa"/>
            <w:noWrap w:val="0"/>
            <w:vAlign w:val="center"/>
          </w:tcPr>
          <w:p>
            <w:pPr>
              <w:pStyle w:val="18"/>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43、国土空间规划城市体检评估绩效目标表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1.通过项目的开展，完成国土空间开发保护现状评估，为科学编制国土空间规划打好基础。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评估完成率</w:t>
            </w:r>
          </w:p>
        </w:tc>
        <w:tc>
          <w:tcPr>
            <w:tcW w:w="2835" w:type="dxa"/>
            <w:noWrap w:val="0"/>
            <w:vAlign w:val="center"/>
          </w:tcPr>
          <w:p>
            <w:pPr>
              <w:pStyle w:val="18"/>
            </w:pPr>
            <w:r>
              <w:t>实际评估数量占应评估数量的比率</w:t>
            </w:r>
          </w:p>
        </w:tc>
        <w:tc>
          <w:tcPr>
            <w:tcW w:w="2551" w:type="dxa"/>
            <w:noWrap w:val="0"/>
            <w:vAlign w:val="center"/>
          </w:tcPr>
          <w:p>
            <w:pPr>
              <w:pStyle w:val="18"/>
            </w:pPr>
            <w:r>
              <w:t>100%</w:t>
            </w:r>
          </w:p>
        </w:tc>
        <w:tc>
          <w:tcPr>
            <w:tcW w:w="2268" w:type="dxa"/>
            <w:noWrap w:val="0"/>
            <w:vAlign w:val="center"/>
          </w:tcPr>
          <w:p>
            <w:pPr>
              <w:pStyle w:val="18"/>
            </w:pPr>
            <w:r>
              <w:t>大厂县国土空间规划编制工作方案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验收合格的数量占评估总数量的比例</w:t>
            </w:r>
          </w:p>
        </w:tc>
        <w:tc>
          <w:tcPr>
            <w:tcW w:w="2551" w:type="dxa"/>
            <w:noWrap w:val="0"/>
            <w:vAlign w:val="center"/>
          </w:tcPr>
          <w:p>
            <w:pPr>
              <w:pStyle w:val="18"/>
            </w:pPr>
            <w:r>
              <w:t>100%</w:t>
            </w:r>
          </w:p>
        </w:tc>
        <w:tc>
          <w:tcPr>
            <w:tcW w:w="2268" w:type="dxa"/>
            <w:noWrap w:val="0"/>
            <w:vAlign w:val="center"/>
          </w:tcPr>
          <w:p>
            <w:pPr>
              <w:pStyle w:val="18"/>
            </w:pPr>
            <w:r>
              <w:t>相关验收文件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按照文件要求或工作计划及时完成评估工作</w:t>
            </w:r>
          </w:p>
        </w:tc>
        <w:tc>
          <w:tcPr>
            <w:tcW w:w="2551" w:type="dxa"/>
            <w:noWrap w:val="0"/>
            <w:vAlign w:val="center"/>
          </w:tcPr>
          <w:p>
            <w:pPr>
              <w:pStyle w:val="18"/>
            </w:pPr>
            <w:r>
              <w:t>12月</w:t>
            </w:r>
          </w:p>
        </w:tc>
        <w:tc>
          <w:tcPr>
            <w:tcW w:w="2268" w:type="dxa"/>
            <w:noWrap w:val="0"/>
            <w:vAlign w:val="center"/>
          </w:tcPr>
          <w:p>
            <w:pPr>
              <w:pStyle w:val="18"/>
            </w:pPr>
            <w: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大厂回族自治县政府采购合同书（服务类）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国土空间开发保护提升率</w:t>
            </w:r>
          </w:p>
        </w:tc>
        <w:tc>
          <w:tcPr>
            <w:tcW w:w="2835" w:type="dxa"/>
            <w:noWrap w:val="0"/>
            <w:vAlign w:val="center"/>
          </w:tcPr>
          <w:p>
            <w:pPr>
              <w:pStyle w:val="18"/>
            </w:pPr>
            <w:r>
              <w:t>提升大厂县国土空间开发保护能力，有效保障国土空间的有效利用</w:t>
            </w:r>
          </w:p>
        </w:tc>
        <w:tc>
          <w:tcPr>
            <w:tcW w:w="2551" w:type="dxa"/>
            <w:noWrap w:val="0"/>
            <w:vAlign w:val="center"/>
          </w:tcPr>
          <w:p>
            <w:pPr>
              <w:pStyle w:val="18"/>
            </w:pPr>
            <w:r>
              <w:t>≥90%</w:t>
            </w:r>
          </w:p>
        </w:tc>
        <w:tc>
          <w:tcPr>
            <w:tcW w:w="2268" w:type="dxa"/>
            <w:noWrap w:val="0"/>
            <w:vAlign w:val="center"/>
          </w:tcPr>
          <w:p>
            <w:pPr>
              <w:pStyle w:val="18"/>
            </w:pPr>
            <w:r>
              <w:t>实际调查情况或工作记录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评估持续有效时间</w:t>
            </w:r>
          </w:p>
        </w:tc>
        <w:tc>
          <w:tcPr>
            <w:tcW w:w="2835" w:type="dxa"/>
            <w:noWrap w:val="0"/>
            <w:vAlign w:val="center"/>
          </w:tcPr>
          <w:p>
            <w:pPr>
              <w:pStyle w:val="18"/>
            </w:pPr>
            <w:r>
              <w:t>国土空间规划城市体检评估成果的有效利用时限</w:t>
            </w:r>
          </w:p>
        </w:tc>
        <w:tc>
          <w:tcPr>
            <w:tcW w:w="2551" w:type="dxa"/>
            <w:noWrap w:val="0"/>
            <w:vAlign w:val="center"/>
          </w:tcPr>
          <w:p>
            <w:pPr>
              <w:pStyle w:val="18"/>
            </w:pPr>
            <w:r>
              <w:t>1年</w:t>
            </w:r>
          </w:p>
        </w:tc>
        <w:tc>
          <w:tcPr>
            <w:tcW w:w="2268" w:type="dxa"/>
            <w:noWrap w:val="0"/>
            <w:vAlign w:val="center"/>
          </w:tcPr>
          <w:p>
            <w:pPr>
              <w:pStyle w:val="18"/>
            </w:pPr>
            <w:r>
              <w:t>相关文件及法规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服务对象对矿产资源评估项目的满意度</w:t>
            </w:r>
          </w:p>
        </w:tc>
        <w:tc>
          <w:tcPr>
            <w:tcW w:w="2551" w:type="dxa"/>
            <w:noWrap w:val="0"/>
            <w:vAlign w:val="center"/>
          </w:tcPr>
          <w:p>
            <w:pPr>
              <w:pStyle w:val="18"/>
            </w:pPr>
            <w:r>
              <w:t>≥90%</w:t>
            </w:r>
          </w:p>
        </w:tc>
        <w:tc>
          <w:tcPr>
            <w:tcW w:w="2268" w:type="dxa"/>
            <w:noWrap w:val="0"/>
            <w:vAlign w:val="center"/>
          </w:tcPr>
          <w:p>
            <w:pPr>
              <w:pStyle w:val="18"/>
            </w:pPr>
            <w:r>
              <w:t>根据下发的通报、批评记录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44、国土空间规划数据库建设绩效目标表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1.通过项目的开展,结合各级各类国土空间规划编制，实现全县统一的国土空间开发保护“一张图”的目标要求，综合提升国土空间的开发保护能力。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国土空间数据库数量</w:t>
            </w:r>
          </w:p>
        </w:tc>
        <w:tc>
          <w:tcPr>
            <w:tcW w:w="2835" w:type="dxa"/>
            <w:noWrap w:val="0"/>
            <w:vAlign w:val="center"/>
          </w:tcPr>
          <w:p>
            <w:pPr>
              <w:pStyle w:val="18"/>
            </w:pPr>
            <w:r>
              <w:t>国土空间规划主要内容数据库</w:t>
            </w:r>
          </w:p>
        </w:tc>
        <w:tc>
          <w:tcPr>
            <w:tcW w:w="2551" w:type="dxa"/>
            <w:noWrap w:val="0"/>
            <w:vAlign w:val="center"/>
          </w:tcPr>
          <w:p>
            <w:pPr>
              <w:pStyle w:val="18"/>
            </w:pPr>
            <w:r>
              <w:t>1套</w:t>
            </w:r>
          </w:p>
        </w:tc>
        <w:tc>
          <w:tcPr>
            <w:tcW w:w="2268" w:type="dxa"/>
            <w:noWrap w:val="0"/>
            <w:vAlign w:val="center"/>
          </w:tcPr>
          <w:p>
            <w:pPr>
              <w:pStyle w:val="18"/>
            </w:pPr>
            <w:r>
              <w:t>大厂县国土空间规划编制工作方案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项目开展的实际合格验收成果占总验收成果的利率</w:t>
            </w:r>
          </w:p>
        </w:tc>
        <w:tc>
          <w:tcPr>
            <w:tcW w:w="2551" w:type="dxa"/>
            <w:noWrap w:val="0"/>
            <w:vAlign w:val="center"/>
          </w:tcPr>
          <w:p>
            <w:pPr>
              <w:pStyle w:val="18"/>
            </w:pPr>
            <w:r>
              <w:t>100%</w:t>
            </w:r>
          </w:p>
        </w:tc>
        <w:tc>
          <w:tcPr>
            <w:tcW w:w="2268" w:type="dxa"/>
            <w:noWrap w:val="0"/>
            <w:vAlign w:val="center"/>
          </w:tcPr>
          <w:p>
            <w:pPr>
              <w:pStyle w:val="18"/>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依据合同约定时间完成</w:t>
            </w:r>
          </w:p>
        </w:tc>
        <w:tc>
          <w:tcPr>
            <w:tcW w:w="2551" w:type="dxa"/>
            <w:noWrap w:val="0"/>
            <w:vAlign w:val="center"/>
          </w:tcPr>
          <w:p>
            <w:pPr>
              <w:pStyle w:val="18"/>
            </w:pPr>
            <w:r>
              <w:t>12月</w:t>
            </w:r>
          </w:p>
        </w:tc>
        <w:tc>
          <w:tcPr>
            <w:tcW w:w="2268" w:type="dxa"/>
            <w:noWrap w:val="0"/>
            <w:vAlign w:val="center"/>
          </w:tcPr>
          <w:p>
            <w:pPr>
              <w:pStyle w:val="18"/>
            </w:pPr>
            <w:r>
              <w:t>廊发（25）号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国土空间开发保护提升率</w:t>
            </w:r>
          </w:p>
        </w:tc>
        <w:tc>
          <w:tcPr>
            <w:tcW w:w="2835" w:type="dxa"/>
            <w:noWrap w:val="0"/>
            <w:vAlign w:val="center"/>
          </w:tcPr>
          <w:p>
            <w:pPr>
              <w:pStyle w:val="18"/>
            </w:pPr>
            <w:r>
              <w:t>提升大厂县国土空间开发保护能力，有效保障国土空间的有效利用</w:t>
            </w:r>
          </w:p>
        </w:tc>
        <w:tc>
          <w:tcPr>
            <w:tcW w:w="2551" w:type="dxa"/>
            <w:noWrap w:val="0"/>
            <w:vAlign w:val="center"/>
          </w:tcPr>
          <w:p>
            <w:pPr>
              <w:pStyle w:val="18"/>
            </w:pPr>
            <w:r>
              <w:t>≥90%</w:t>
            </w:r>
          </w:p>
        </w:tc>
        <w:tc>
          <w:tcPr>
            <w:tcW w:w="2268" w:type="dxa"/>
            <w:noWrap w:val="0"/>
            <w:vAlign w:val="center"/>
          </w:tcPr>
          <w:p>
            <w:pPr>
              <w:pStyle w:val="18"/>
            </w:pPr>
            <w:r>
              <w:t>实际调查情况或工作记录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数据库使用年限</w:t>
            </w:r>
          </w:p>
        </w:tc>
        <w:tc>
          <w:tcPr>
            <w:tcW w:w="2835" w:type="dxa"/>
            <w:noWrap w:val="0"/>
            <w:vAlign w:val="center"/>
          </w:tcPr>
          <w:p>
            <w:pPr>
              <w:pStyle w:val="18"/>
            </w:pPr>
            <w:r>
              <w:t>大厂县国土空间规划数据库使用年限</w:t>
            </w:r>
          </w:p>
        </w:tc>
        <w:tc>
          <w:tcPr>
            <w:tcW w:w="2551" w:type="dxa"/>
            <w:noWrap w:val="0"/>
            <w:vAlign w:val="center"/>
          </w:tcPr>
          <w:p>
            <w:pPr>
              <w:pStyle w:val="18"/>
            </w:pPr>
            <w:r>
              <w:t>13年</w:t>
            </w:r>
          </w:p>
        </w:tc>
        <w:tc>
          <w:tcPr>
            <w:tcW w:w="2268" w:type="dxa"/>
            <w:noWrap w:val="0"/>
            <w:vAlign w:val="center"/>
          </w:tcPr>
          <w:p>
            <w:pPr>
              <w:pStyle w:val="18"/>
            </w:pPr>
            <w:r>
              <w:t>规划报告或者规划编制图纸及实际需求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45、国土空间规划现状数据转换绩效目标表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1.通过项目的开展,实现国土空间用途管制，是国土空间开发和保护的重要支撑。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编制完成率</w:t>
            </w:r>
          </w:p>
        </w:tc>
        <w:tc>
          <w:tcPr>
            <w:tcW w:w="2835" w:type="dxa"/>
            <w:noWrap w:val="0"/>
            <w:vAlign w:val="center"/>
          </w:tcPr>
          <w:p>
            <w:pPr>
              <w:pStyle w:val="18"/>
            </w:pPr>
            <w:r>
              <w:t>实际编制数量占应编制数量的比例</w:t>
            </w:r>
          </w:p>
        </w:tc>
        <w:tc>
          <w:tcPr>
            <w:tcW w:w="2551" w:type="dxa"/>
            <w:noWrap w:val="0"/>
            <w:vAlign w:val="center"/>
          </w:tcPr>
          <w:p>
            <w:pPr>
              <w:pStyle w:val="18"/>
            </w:pPr>
            <w:r>
              <w:t>100%</w:t>
            </w:r>
          </w:p>
        </w:tc>
        <w:tc>
          <w:tcPr>
            <w:tcW w:w="2268" w:type="dxa"/>
            <w:noWrap w:val="0"/>
            <w:vAlign w:val="center"/>
          </w:tcPr>
          <w:p>
            <w:pPr>
              <w:pStyle w:val="18"/>
            </w:pPr>
            <w:r>
              <w:t>省国土空间规划基期数据制作规范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编制合规率</w:t>
            </w:r>
          </w:p>
        </w:tc>
        <w:tc>
          <w:tcPr>
            <w:tcW w:w="2835" w:type="dxa"/>
            <w:noWrap w:val="0"/>
            <w:vAlign w:val="center"/>
          </w:tcPr>
          <w:p>
            <w:pPr>
              <w:pStyle w:val="18"/>
            </w:pPr>
            <w:r>
              <w:t>编制符合规定的工作量占总工作量的比例</w:t>
            </w:r>
          </w:p>
        </w:tc>
        <w:tc>
          <w:tcPr>
            <w:tcW w:w="2551" w:type="dxa"/>
            <w:noWrap w:val="0"/>
            <w:vAlign w:val="center"/>
          </w:tcPr>
          <w:p>
            <w:pPr>
              <w:pStyle w:val="18"/>
            </w:pPr>
            <w:r>
              <w:t>100%</w:t>
            </w:r>
          </w:p>
        </w:tc>
        <w:tc>
          <w:tcPr>
            <w:tcW w:w="2268" w:type="dxa"/>
            <w:noWrap w:val="0"/>
            <w:vAlign w:val="center"/>
          </w:tcPr>
          <w:p>
            <w:pPr>
              <w:pStyle w:val="18"/>
            </w:pPr>
            <w:r>
              <w:t>省基数转换成果汇交及认定要求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依据合同约定时间完成</w:t>
            </w:r>
          </w:p>
        </w:tc>
        <w:tc>
          <w:tcPr>
            <w:tcW w:w="2551" w:type="dxa"/>
            <w:noWrap w:val="0"/>
            <w:vAlign w:val="center"/>
          </w:tcPr>
          <w:p>
            <w:pPr>
              <w:pStyle w:val="18"/>
            </w:pPr>
            <w:r>
              <w:t>12月</w:t>
            </w:r>
          </w:p>
        </w:tc>
        <w:tc>
          <w:tcPr>
            <w:tcW w:w="2268" w:type="dxa"/>
            <w:noWrap w:val="0"/>
            <w:vAlign w:val="center"/>
          </w:tcPr>
          <w:p>
            <w:pPr>
              <w:pStyle w:val="18"/>
            </w:pPr>
            <w:r>
              <w:t>冀自然资字（2021）92号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合同约定/上级下发的相关通知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国土空间规划现状数据转换准确率</w:t>
            </w:r>
          </w:p>
        </w:tc>
        <w:tc>
          <w:tcPr>
            <w:tcW w:w="2835" w:type="dxa"/>
            <w:noWrap w:val="0"/>
            <w:vAlign w:val="center"/>
          </w:tcPr>
          <w:p>
            <w:pPr>
              <w:pStyle w:val="18"/>
            </w:pPr>
            <w:r>
              <w:t>及时准确完成国土空间规划现状基数转换工作，提升国土空间有效利用率及准确率</w:t>
            </w:r>
          </w:p>
        </w:tc>
        <w:tc>
          <w:tcPr>
            <w:tcW w:w="2551" w:type="dxa"/>
            <w:noWrap w:val="0"/>
            <w:vAlign w:val="center"/>
          </w:tcPr>
          <w:p>
            <w:pPr>
              <w:pStyle w:val="18"/>
            </w:pPr>
            <w:r>
              <w:t>100%</w:t>
            </w:r>
          </w:p>
        </w:tc>
        <w:tc>
          <w:tcPr>
            <w:tcW w:w="2268" w:type="dxa"/>
            <w:noWrap w:val="0"/>
            <w:vAlign w:val="center"/>
          </w:tcPr>
          <w:p>
            <w:pPr>
              <w:pStyle w:val="18"/>
            </w:pPr>
            <w:r>
              <w:t>时间调查情况或者工作记录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数据转换编制使用年限</w:t>
            </w:r>
          </w:p>
        </w:tc>
        <w:tc>
          <w:tcPr>
            <w:tcW w:w="2835" w:type="dxa"/>
            <w:noWrap w:val="0"/>
            <w:vAlign w:val="center"/>
          </w:tcPr>
          <w:p>
            <w:pPr>
              <w:pStyle w:val="18"/>
            </w:pPr>
            <w:r>
              <w:t>大厂县国土空间规划现状数据转换编制的使用年限</w:t>
            </w:r>
          </w:p>
        </w:tc>
        <w:tc>
          <w:tcPr>
            <w:tcW w:w="2551" w:type="dxa"/>
            <w:noWrap w:val="0"/>
            <w:vAlign w:val="center"/>
          </w:tcPr>
          <w:p>
            <w:pPr>
              <w:pStyle w:val="18"/>
            </w:pPr>
            <w:r>
              <w:t>5年</w:t>
            </w:r>
          </w:p>
        </w:tc>
        <w:tc>
          <w:tcPr>
            <w:tcW w:w="2268" w:type="dxa"/>
            <w:noWrap w:val="0"/>
            <w:vAlign w:val="center"/>
          </w:tcPr>
          <w:p>
            <w:pPr>
              <w:pStyle w:val="18"/>
            </w:pPr>
            <w:r>
              <w:t>规划报告或者规划编制图纸及实际需求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46、国土空间基础信息平台及“一张图”实施监督信息系统绩效目标表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1.通过统筹建设国土空间基础信息平台和“一张图”实施监督信息系统，实现全县统一的国土空间开发保护“一张图”的目标要求。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信息平台使用率</w:t>
            </w:r>
          </w:p>
        </w:tc>
        <w:tc>
          <w:tcPr>
            <w:tcW w:w="2835" w:type="dxa"/>
            <w:noWrap w:val="0"/>
            <w:vAlign w:val="center"/>
          </w:tcPr>
          <w:p>
            <w:pPr>
              <w:pStyle w:val="18"/>
            </w:pPr>
            <w:r>
              <w:t>信息平台使用的时间占全年比例</w:t>
            </w:r>
          </w:p>
        </w:tc>
        <w:tc>
          <w:tcPr>
            <w:tcW w:w="2551" w:type="dxa"/>
            <w:noWrap w:val="0"/>
            <w:vAlign w:val="center"/>
          </w:tcPr>
          <w:p>
            <w:pPr>
              <w:pStyle w:val="18"/>
            </w:pPr>
            <w:r>
              <w:t>100%</w:t>
            </w:r>
          </w:p>
        </w:tc>
        <w:tc>
          <w:tcPr>
            <w:tcW w:w="2268" w:type="dxa"/>
            <w:noWrap w:val="0"/>
            <w:vAlign w:val="center"/>
          </w:tcPr>
          <w:p>
            <w:pPr>
              <w:pStyle w:val="18"/>
            </w:pPr>
            <w:r>
              <w:t>大厂县国土空间规划编制工作方案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信息平台正常运转率</w:t>
            </w:r>
          </w:p>
        </w:tc>
        <w:tc>
          <w:tcPr>
            <w:tcW w:w="2835" w:type="dxa"/>
            <w:noWrap w:val="0"/>
            <w:vAlign w:val="center"/>
          </w:tcPr>
          <w:p>
            <w:pPr>
              <w:pStyle w:val="18"/>
            </w:pPr>
            <w:r>
              <w:t>信息平台正常使用的时间占全年比例</w:t>
            </w:r>
          </w:p>
        </w:tc>
        <w:tc>
          <w:tcPr>
            <w:tcW w:w="2551" w:type="dxa"/>
            <w:noWrap w:val="0"/>
            <w:vAlign w:val="center"/>
          </w:tcPr>
          <w:p>
            <w:pPr>
              <w:pStyle w:val="18"/>
            </w:pPr>
            <w:r>
              <w:t>100%</w:t>
            </w:r>
          </w:p>
        </w:tc>
        <w:tc>
          <w:tcPr>
            <w:tcW w:w="2268" w:type="dxa"/>
            <w:noWrap w:val="0"/>
            <w:vAlign w:val="center"/>
          </w:tcPr>
          <w:p>
            <w:pPr>
              <w:pStyle w:val="18"/>
            </w:pPr>
            <w:r>
              <w:t>信息平台运行记录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资金支付及时率</w:t>
            </w:r>
          </w:p>
        </w:tc>
        <w:tc>
          <w:tcPr>
            <w:tcW w:w="2835" w:type="dxa"/>
            <w:noWrap w:val="0"/>
            <w:vAlign w:val="center"/>
          </w:tcPr>
          <w:p>
            <w:pPr>
              <w:pStyle w:val="18"/>
            </w:pPr>
            <w:r>
              <w:t>依据合同约定时间及时完成支付</w:t>
            </w:r>
          </w:p>
        </w:tc>
        <w:tc>
          <w:tcPr>
            <w:tcW w:w="2551" w:type="dxa"/>
            <w:noWrap w:val="0"/>
            <w:vAlign w:val="center"/>
          </w:tcPr>
          <w:p>
            <w:pPr>
              <w:pStyle w:val="18"/>
            </w:pPr>
            <w:r>
              <w:t>100%</w:t>
            </w:r>
          </w:p>
        </w:tc>
        <w:tc>
          <w:tcPr>
            <w:tcW w:w="2268" w:type="dxa"/>
            <w:noWrap w:val="0"/>
            <w:vAlign w:val="center"/>
          </w:tcPr>
          <w:p>
            <w:pPr>
              <w:pStyle w:val="18"/>
            </w:pPr>
            <w: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国土空间监督准确性提升率</w:t>
            </w:r>
          </w:p>
        </w:tc>
        <w:tc>
          <w:tcPr>
            <w:tcW w:w="2835" w:type="dxa"/>
            <w:noWrap w:val="0"/>
            <w:vAlign w:val="center"/>
          </w:tcPr>
          <w:p>
            <w:pPr>
              <w:pStyle w:val="18"/>
            </w:pPr>
            <w:r>
              <w:t>提升大厂县国土空间监督数据的准确性，有效了解及保障国土空间的有效利用</w:t>
            </w:r>
          </w:p>
        </w:tc>
        <w:tc>
          <w:tcPr>
            <w:tcW w:w="2551" w:type="dxa"/>
            <w:noWrap w:val="0"/>
            <w:vAlign w:val="center"/>
          </w:tcPr>
          <w:p>
            <w:pPr>
              <w:pStyle w:val="18"/>
            </w:pPr>
            <w:r>
              <w:t>≥90%</w:t>
            </w:r>
          </w:p>
        </w:tc>
        <w:tc>
          <w:tcPr>
            <w:tcW w:w="2268" w:type="dxa"/>
            <w:noWrap w:val="0"/>
            <w:vAlign w:val="center"/>
          </w:tcPr>
          <w:p>
            <w:pPr>
              <w:pStyle w:val="18"/>
            </w:pPr>
            <w:r>
              <w:t>实际调查情况或工作记录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信息平台使用年限</w:t>
            </w:r>
          </w:p>
        </w:tc>
        <w:tc>
          <w:tcPr>
            <w:tcW w:w="2835" w:type="dxa"/>
            <w:noWrap w:val="0"/>
            <w:vAlign w:val="center"/>
          </w:tcPr>
          <w:p>
            <w:pPr>
              <w:pStyle w:val="18"/>
            </w:pPr>
            <w:r>
              <w:t>信息平台使用年限</w:t>
            </w:r>
          </w:p>
        </w:tc>
        <w:tc>
          <w:tcPr>
            <w:tcW w:w="2551" w:type="dxa"/>
            <w:noWrap w:val="0"/>
            <w:vAlign w:val="center"/>
          </w:tcPr>
          <w:p>
            <w:pPr>
              <w:pStyle w:val="18"/>
            </w:pPr>
            <w:r>
              <w:t>≥10年</w:t>
            </w:r>
          </w:p>
        </w:tc>
        <w:tc>
          <w:tcPr>
            <w:tcW w:w="2268" w:type="dxa"/>
            <w:noWrap w:val="0"/>
            <w:vAlign w:val="center"/>
          </w:tcPr>
          <w:p>
            <w:pPr>
              <w:pStyle w:val="18"/>
            </w:pPr>
            <w: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47、国土空间生态修复规划经费绩效目标表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1.通过项目的开展，统筹山水林田湖草一体化保护修复，提升生态系统质量和稳定性，筑牢生态安全保障，提供优质生态品质。</w:t>
            </w:r>
          </w:p>
          <w:p>
            <w:pPr>
              <w:pStyle w:val="18"/>
            </w:pPr>
            <w:r>
              <w:t>2.通过项目的开展，维护全县生态安全，强化农田生态功能、提高城市生态品质。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生态修复覆盖率</w:t>
            </w:r>
          </w:p>
        </w:tc>
        <w:tc>
          <w:tcPr>
            <w:tcW w:w="2835" w:type="dxa"/>
            <w:noWrap w:val="0"/>
            <w:vAlign w:val="center"/>
          </w:tcPr>
          <w:p>
            <w:pPr>
              <w:pStyle w:val="18"/>
            </w:pPr>
            <w:r>
              <w:t>国土空间生态修复覆盖率</w:t>
            </w:r>
          </w:p>
        </w:tc>
        <w:tc>
          <w:tcPr>
            <w:tcW w:w="2551" w:type="dxa"/>
            <w:noWrap w:val="0"/>
            <w:vAlign w:val="center"/>
          </w:tcPr>
          <w:p>
            <w:pPr>
              <w:pStyle w:val="18"/>
            </w:pPr>
            <w:r>
              <w:t>≥90%</w:t>
            </w:r>
          </w:p>
        </w:tc>
        <w:tc>
          <w:tcPr>
            <w:tcW w:w="2268" w:type="dxa"/>
            <w:noWrap w:val="0"/>
            <w:vAlign w:val="center"/>
          </w:tcPr>
          <w:p>
            <w:pPr>
              <w:pStyle w:val="18"/>
            </w:pPr>
            <w:r>
              <w:t>《河北省自然资源厅转发&lt;自然资源部办公厅关于开展省级国土空间生态修复规划编制工作的通知（自然资办发【2020】45号）&gt;》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规划验收合格率</w:t>
            </w:r>
          </w:p>
        </w:tc>
        <w:tc>
          <w:tcPr>
            <w:tcW w:w="2835" w:type="dxa"/>
            <w:noWrap w:val="0"/>
            <w:vAlign w:val="center"/>
          </w:tcPr>
          <w:p>
            <w:pPr>
              <w:pStyle w:val="18"/>
            </w:pPr>
            <w:r>
              <w:t>规划验收合格情况</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规划成果完成及时率</w:t>
            </w:r>
          </w:p>
        </w:tc>
        <w:tc>
          <w:tcPr>
            <w:tcW w:w="2835" w:type="dxa"/>
            <w:noWrap w:val="0"/>
            <w:vAlign w:val="center"/>
          </w:tcPr>
          <w:p>
            <w:pPr>
              <w:pStyle w:val="18"/>
            </w:pPr>
            <w:r>
              <w:t>在规定的时间节点内完成</w:t>
            </w:r>
          </w:p>
        </w:tc>
        <w:tc>
          <w:tcPr>
            <w:tcW w:w="2551" w:type="dxa"/>
            <w:noWrap w:val="0"/>
            <w:vAlign w:val="center"/>
          </w:tcPr>
          <w:p>
            <w:pPr>
              <w:pStyle w:val="18"/>
            </w:pPr>
            <w:r>
              <w:t>100%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生态系统质量提升率</w:t>
            </w:r>
          </w:p>
        </w:tc>
        <w:tc>
          <w:tcPr>
            <w:tcW w:w="2835" w:type="dxa"/>
            <w:noWrap w:val="0"/>
            <w:vAlign w:val="center"/>
          </w:tcPr>
          <w:p>
            <w:pPr>
              <w:pStyle w:val="18"/>
            </w:pPr>
            <w:r>
              <w:t>生态系统质量提升情况</w:t>
            </w:r>
          </w:p>
        </w:tc>
        <w:tc>
          <w:tcPr>
            <w:tcW w:w="2551" w:type="dxa"/>
            <w:noWrap w:val="0"/>
            <w:vAlign w:val="center"/>
          </w:tcPr>
          <w:p>
            <w:pPr>
              <w:pStyle w:val="18"/>
            </w:pPr>
            <w:r>
              <w:t>≥2%</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生态系统提升年限</w:t>
            </w:r>
          </w:p>
        </w:tc>
        <w:tc>
          <w:tcPr>
            <w:tcW w:w="2835" w:type="dxa"/>
            <w:noWrap w:val="0"/>
            <w:vAlign w:val="center"/>
          </w:tcPr>
          <w:p>
            <w:pPr>
              <w:pStyle w:val="18"/>
            </w:pPr>
            <w:r>
              <w:t>对于生态系统质量和稳定性提升年限</w:t>
            </w:r>
          </w:p>
        </w:tc>
        <w:tc>
          <w:tcPr>
            <w:tcW w:w="2551" w:type="dxa"/>
            <w:noWrap w:val="0"/>
            <w:vAlign w:val="center"/>
          </w:tcPr>
          <w:p>
            <w:pPr>
              <w:pStyle w:val="18"/>
            </w:pPr>
            <w:r>
              <w:t>≥1年</w:t>
            </w:r>
          </w:p>
        </w:tc>
        <w:tc>
          <w:tcPr>
            <w:tcW w:w="2268" w:type="dxa"/>
            <w:noWrap w:val="0"/>
            <w:vAlign w:val="center"/>
          </w:tcPr>
          <w:p>
            <w:pPr>
              <w:pStyle w:val="18"/>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受益对象满意度</w:t>
            </w:r>
          </w:p>
        </w:tc>
        <w:tc>
          <w:tcPr>
            <w:tcW w:w="2835" w:type="dxa"/>
            <w:noWrap w:val="0"/>
            <w:vAlign w:val="center"/>
          </w:tcPr>
          <w:p>
            <w:pPr>
              <w:pStyle w:val="18"/>
            </w:pPr>
            <w:r>
              <w:t>调查中满意和较满意的人数占调研总人数的比率</w:t>
            </w:r>
          </w:p>
        </w:tc>
        <w:tc>
          <w:tcPr>
            <w:tcW w:w="2551" w:type="dxa"/>
            <w:noWrap w:val="0"/>
            <w:vAlign w:val="center"/>
          </w:tcPr>
          <w:p>
            <w:pPr>
              <w:pStyle w:val="18"/>
            </w:pPr>
            <w:r>
              <w:t>≥95%</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48、河北宝生科技有限公司民事诉讼法院案件受理费绩效目标表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 xml:space="preserve">1.完成河北宝生科技有限公司民事诉讼法院案件受理费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诉讼案件数量</w:t>
            </w:r>
          </w:p>
        </w:tc>
        <w:tc>
          <w:tcPr>
            <w:tcW w:w="2835" w:type="dxa"/>
            <w:noWrap w:val="0"/>
            <w:vAlign w:val="center"/>
          </w:tcPr>
          <w:p>
            <w:pPr>
              <w:pStyle w:val="18"/>
            </w:pPr>
            <w:r>
              <w:t>诉讼案件数量</w:t>
            </w:r>
          </w:p>
        </w:tc>
        <w:tc>
          <w:tcPr>
            <w:tcW w:w="2551" w:type="dxa"/>
            <w:noWrap w:val="0"/>
            <w:vAlign w:val="center"/>
          </w:tcPr>
          <w:p>
            <w:pPr>
              <w:pStyle w:val="18"/>
            </w:pPr>
            <w:r>
              <w:t>1件</w:t>
            </w:r>
          </w:p>
        </w:tc>
        <w:tc>
          <w:tcPr>
            <w:tcW w:w="2268" w:type="dxa"/>
            <w:noWrap w:val="0"/>
            <w:vAlign w:val="center"/>
          </w:tcPr>
          <w:p>
            <w:pPr>
              <w:pStyle w:val="18"/>
            </w:pPr>
            <w:r>
              <w:t>民事判决书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支付完成率</w:t>
            </w:r>
          </w:p>
        </w:tc>
        <w:tc>
          <w:tcPr>
            <w:tcW w:w="2835" w:type="dxa"/>
            <w:noWrap w:val="0"/>
            <w:vAlign w:val="center"/>
          </w:tcPr>
          <w:p>
            <w:pPr>
              <w:pStyle w:val="18"/>
            </w:pPr>
            <w:r>
              <w:t>支付完成率</w:t>
            </w:r>
          </w:p>
        </w:tc>
        <w:tc>
          <w:tcPr>
            <w:tcW w:w="2551" w:type="dxa"/>
            <w:noWrap w:val="0"/>
            <w:vAlign w:val="center"/>
          </w:tcPr>
          <w:p>
            <w:pPr>
              <w:pStyle w:val="18"/>
            </w:pPr>
            <w:r>
              <w:t>100%</w:t>
            </w:r>
          </w:p>
        </w:tc>
        <w:tc>
          <w:tcPr>
            <w:tcW w:w="2268" w:type="dxa"/>
            <w:noWrap w:val="0"/>
            <w:vAlign w:val="center"/>
          </w:tcPr>
          <w:p>
            <w:pPr>
              <w:pStyle w:val="18"/>
            </w:pPr>
            <w:r>
              <w:t>民事判决书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完成时间</w:t>
            </w:r>
          </w:p>
        </w:tc>
        <w:tc>
          <w:tcPr>
            <w:tcW w:w="2551" w:type="dxa"/>
            <w:noWrap w:val="0"/>
            <w:vAlign w:val="center"/>
          </w:tcPr>
          <w:p>
            <w:pPr>
              <w:pStyle w:val="18"/>
            </w:pPr>
            <w:r>
              <w:t>≤1年</w:t>
            </w:r>
          </w:p>
        </w:tc>
        <w:tc>
          <w:tcPr>
            <w:tcW w:w="2268" w:type="dxa"/>
            <w:noWrap w:val="0"/>
            <w:vAlign w:val="center"/>
          </w:tcPr>
          <w:p>
            <w:pPr>
              <w:pStyle w:val="18"/>
            </w:pPr>
            <w:r>
              <w:t>民事判决书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案件受理费</w:t>
            </w:r>
          </w:p>
        </w:tc>
        <w:tc>
          <w:tcPr>
            <w:tcW w:w="2835" w:type="dxa"/>
            <w:noWrap w:val="0"/>
            <w:vAlign w:val="center"/>
          </w:tcPr>
          <w:p>
            <w:pPr>
              <w:pStyle w:val="18"/>
            </w:pPr>
            <w:r>
              <w:t>案件受理费</w:t>
            </w:r>
          </w:p>
        </w:tc>
        <w:tc>
          <w:tcPr>
            <w:tcW w:w="2551" w:type="dxa"/>
            <w:noWrap w:val="0"/>
            <w:vAlign w:val="center"/>
          </w:tcPr>
          <w:p>
            <w:pPr>
              <w:pStyle w:val="18"/>
            </w:pPr>
            <w:r>
              <w:t>6.36万元</w:t>
            </w:r>
          </w:p>
        </w:tc>
        <w:tc>
          <w:tcPr>
            <w:tcW w:w="2268" w:type="dxa"/>
            <w:noWrap w:val="0"/>
            <w:vAlign w:val="center"/>
          </w:tcPr>
          <w:p>
            <w:pPr>
              <w:pStyle w:val="18"/>
            </w:pPr>
            <w:r>
              <w:t>民事判决书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支付完成率</w:t>
            </w:r>
          </w:p>
        </w:tc>
        <w:tc>
          <w:tcPr>
            <w:tcW w:w="2835" w:type="dxa"/>
            <w:noWrap w:val="0"/>
            <w:vAlign w:val="center"/>
          </w:tcPr>
          <w:p>
            <w:pPr>
              <w:pStyle w:val="18"/>
            </w:pPr>
            <w:r>
              <w:t>支付案件受理费</w:t>
            </w:r>
          </w:p>
        </w:tc>
        <w:tc>
          <w:tcPr>
            <w:tcW w:w="2551" w:type="dxa"/>
            <w:noWrap w:val="0"/>
            <w:vAlign w:val="center"/>
          </w:tcPr>
          <w:p>
            <w:pPr>
              <w:pStyle w:val="18"/>
            </w:pPr>
            <w:r>
              <w:t>1件</w:t>
            </w:r>
          </w:p>
        </w:tc>
        <w:tc>
          <w:tcPr>
            <w:tcW w:w="2268" w:type="dxa"/>
            <w:noWrap w:val="0"/>
            <w:vAlign w:val="center"/>
          </w:tcPr>
          <w:p>
            <w:pPr>
              <w:pStyle w:val="18"/>
            </w:pPr>
            <w:r>
              <w:t>民事判决书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维护社会稳定持续性</w:t>
            </w:r>
          </w:p>
        </w:tc>
        <w:tc>
          <w:tcPr>
            <w:tcW w:w="2835" w:type="dxa"/>
            <w:noWrap w:val="0"/>
            <w:vAlign w:val="center"/>
          </w:tcPr>
          <w:p>
            <w:pPr>
              <w:pStyle w:val="18"/>
            </w:pPr>
            <w:r>
              <w:t>维护社会稳定持续性</w:t>
            </w:r>
          </w:p>
        </w:tc>
        <w:tc>
          <w:tcPr>
            <w:tcW w:w="2551" w:type="dxa"/>
            <w:noWrap w:val="0"/>
            <w:vAlign w:val="center"/>
          </w:tcPr>
          <w:p>
            <w:pPr>
              <w:pStyle w:val="18"/>
            </w:pPr>
            <w:r>
              <w:t>长期</w:t>
            </w:r>
          </w:p>
        </w:tc>
        <w:tc>
          <w:tcPr>
            <w:tcW w:w="2268" w:type="dxa"/>
            <w:noWrap w:val="0"/>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服务对象满意人数占总人数的比例</w:t>
            </w:r>
          </w:p>
        </w:tc>
        <w:tc>
          <w:tcPr>
            <w:tcW w:w="2551" w:type="dxa"/>
            <w:noWrap w:val="0"/>
            <w:vAlign w:val="center"/>
          </w:tcPr>
          <w:p>
            <w:pPr>
              <w:pStyle w:val="18"/>
            </w:pPr>
            <w:r>
              <w:t>100%</w:t>
            </w:r>
          </w:p>
        </w:tc>
        <w:tc>
          <w:tcPr>
            <w:tcW w:w="2268" w:type="dxa"/>
            <w:noWrap w:val="0"/>
            <w:vAlign w:val="center"/>
          </w:tcPr>
          <w:p>
            <w:pPr>
              <w:pStyle w:val="18"/>
            </w:pPr>
            <w:r>
              <w:t>实际情况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49、林地保护利用规划编制绩效目标表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1.建立与国土空间规划相协调的林地保护利用规划</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编制林地保护利用规划册</w:t>
            </w:r>
          </w:p>
        </w:tc>
        <w:tc>
          <w:tcPr>
            <w:tcW w:w="2835" w:type="dxa"/>
            <w:noWrap w:val="0"/>
            <w:vAlign w:val="center"/>
          </w:tcPr>
          <w:p>
            <w:pPr>
              <w:pStyle w:val="18"/>
            </w:pPr>
            <w:r>
              <w:t>通过采购方式聘请专业林业规划编制单位编制符合经济社会发展的林地保护利用规划</w:t>
            </w:r>
          </w:p>
        </w:tc>
        <w:tc>
          <w:tcPr>
            <w:tcW w:w="2551" w:type="dxa"/>
            <w:noWrap w:val="0"/>
            <w:vAlign w:val="center"/>
          </w:tcPr>
          <w:p>
            <w:pPr>
              <w:pStyle w:val="18"/>
            </w:pPr>
            <w:r>
              <w:t>4本</w:t>
            </w:r>
          </w:p>
        </w:tc>
        <w:tc>
          <w:tcPr>
            <w:tcW w:w="2268" w:type="dxa"/>
            <w:noWrap w:val="0"/>
            <w:vAlign w:val="center"/>
          </w:tcPr>
          <w:p>
            <w:pPr>
              <w:pStyle w:val="18"/>
            </w:pPr>
            <w:r>
              <w:t>国家林业和草原局印发的《新一轮林地保护利用规划编制工作方案》和《新一轮林地保护利用规划编制技术方案》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规划编制通过专家评审率</w:t>
            </w:r>
          </w:p>
        </w:tc>
        <w:tc>
          <w:tcPr>
            <w:tcW w:w="2835" w:type="dxa"/>
            <w:noWrap w:val="0"/>
            <w:vAlign w:val="center"/>
          </w:tcPr>
          <w:p>
            <w:pPr>
              <w:pStyle w:val="18"/>
            </w:pPr>
            <w:r>
              <w:t>林保规划通过专家评审</w:t>
            </w:r>
          </w:p>
        </w:tc>
        <w:tc>
          <w:tcPr>
            <w:tcW w:w="2551" w:type="dxa"/>
            <w:noWrap w:val="0"/>
            <w:vAlign w:val="center"/>
          </w:tcPr>
          <w:p>
            <w:pPr>
              <w:pStyle w:val="18"/>
            </w:pPr>
            <w:r>
              <w:t>100%</w:t>
            </w:r>
          </w:p>
        </w:tc>
        <w:tc>
          <w:tcPr>
            <w:tcW w:w="2268" w:type="dxa"/>
            <w:noWrap w:val="0"/>
            <w:vAlign w:val="center"/>
          </w:tcPr>
          <w:p>
            <w:pPr>
              <w:pStyle w:val="18"/>
            </w:pPr>
            <w:r>
              <w:t>评审通过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项目实施时间</w:t>
            </w:r>
          </w:p>
        </w:tc>
        <w:tc>
          <w:tcPr>
            <w:tcW w:w="2835" w:type="dxa"/>
            <w:noWrap w:val="0"/>
            <w:vAlign w:val="center"/>
          </w:tcPr>
          <w:p>
            <w:pPr>
              <w:pStyle w:val="18"/>
            </w:pPr>
            <w:r>
              <w:t>项目实施时间</w:t>
            </w:r>
          </w:p>
        </w:tc>
        <w:tc>
          <w:tcPr>
            <w:tcW w:w="2551" w:type="dxa"/>
            <w:noWrap w:val="0"/>
            <w:vAlign w:val="center"/>
          </w:tcPr>
          <w:p>
            <w:pPr>
              <w:pStyle w:val="18"/>
            </w:pPr>
            <w:r>
              <w:t>≥95%</w:t>
            </w:r>
          </w:p>
        </w:tc>
        <w:tc>
          <w:tcPr>
            <w:tcW w:w="2268" w:type="dxa"/>
            <w:noWrap w:val="0"/>
            <w:vAlign w:val="center"/>
          </w:tcPr>
          <w:p>
            <w:pPr>
              <w:pStyle w:val="18"/>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与社会平均成本比较</w:t>
            </w:r>
          </w:p>
        </w:tc>
        <w:tc>
          <w:tcPr>
            <w:tcW w:w="2835" w:type="dxa"/>
            <w:noWrap w:val="0"/>
            <w:vAlign w:val="center"/>
          </w:tcPr>
          <w:p>
            <w:pPr>
              <w:pStyle w:val="18"/>
            </w:pPr>
            <w:r>
              <w:t>与社会平均成本比较</w:t>
            </w:r>
          </w:p>
        </w:tc>
        <w:tc>
          <w:tcPr>
            <w:tcW w:w="2551" w:type="dxa"/>
            <w:noWrap w:val="0"/>
            <w:vAlign w:val="center"/>
          </w:tcPr>
          <w:p>
            <w:pPr>
              <w:pStyle w:val="18"/>
            </w:pPr>
            <w:r>
              <w:t>≥95%</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成果应用率</w:t>
            </w:r>
          </w:p>
        </w:tc>
        <w:tc>
          <w:tcPr>
            <w:tcW w:w="2835" w:type="dxa"/>
            <w:noWrap w:val="0"/>
            <w:vAlign w:val="center"/>
          </w:tcPr>
          <w:p>
            <w:pPr>
              <w:pStyle w:val="18"/>
            </w:pPr>
            <w:r>
              <w:t>成果应用率</w:t>
            </w:r>
          </w:p>
        </w:tc>
        <w:tc>
          <w:tcPr>
            <w:tcW w:w="2551" w:type="dxa"/>
            <w:noWrap w:val="0"/>
            <w:vAlign w:val="center"/>
          </w:tcPr>
          <w:p>
            <w:pPr>
              <w:pStyle w:val="18"/>
            </w:pPr>
            <w:r>
              <w:t>≥90%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编制成果使用年限</w:t>
            </w:r>
          </w:p>
        </w:tc>
        <w:tc>
          <w:tcPr>
            <w:tcW w:w="2835" w:type="dxa"/>
            <w:noWrap w:val="0"/>
            <w:vAlign w:val="center"/>
          </w:tcPr>
          <w:p>
            <w:pPr>
              <w:pStyle w:val="18"/>
            </w:pPr>
            <w:r>
              <w:t>编制成果使用年限</w:t>
            </w:r>
          </w:p>
        </w:tc>
        <w:tc>
          <w:tcPr>
            <w:tcW w:w="2551" w:type="dxa"/>
            <w:noWrap w:val="0"/>
            <w:vAlign w:val="center"/>
          </w:tcPr>
          <w:p>
            <w:pPr>
              <w:pStyle w:val="18"/>
            </w:pPr>
            <w:r>
              <w:t>5年</w:t>
            </w:r>
          </w:p>
        </w:tc>
        <w:tc>
          <w:tcPr>
            <w:tcW w:w="2268"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政府满意度</w:t>
            </w:r>
          </w:p>
        </w:tc>
        <w:tc>
          <w:tcPr>
            <w:tcW w:w="2835" w:type="dxa"/>
            <w:noWrap w:val="0"/>
            <w:vAlign w:val="center"/>
          </w:tcPr>
          <w:p>
            <w:pPr>
              <w:pStyle w:val="18"/>
            </w:pPr>
            <w:r>
              <w:t>政府满意度</w:t>
            </w:r>
          </w:p>
        </w:tc>
        <w:tc>
          <w:tcPr>
            <w:tcW w:w="2551" w:type="dxa"/>
            <w:noWrap w:val="0"/>
            <w:vAlign w:val="center"/>
          </w:tcPr>
          <w:p>
            <w:pPr>
              <w:pStyle w:val="18"/>
            </w:pPr>
            <w:r>
              <w:t>100%</w:t>
            </w:r>
          </w:p>
        </w:tc>
        <w:tc>
          <w:tcPr>
            <w:tcW w:w="2268" w:type="dxa"/>
            <w:noWrap w:val="0"/>
            <w:vAlign w:val="center"/>
          </w:tcPr>
          <w:p>
            <w:pPr>
              <w:pStyle w:val="18"/>
            </w:pPr>
            <w:r>
              <w:t>相关表扬或通报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50、林业有害生物监测防治项目资金绩效目标表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1.通过有害生物监测防治，有效遏制林业有害生物的大面积发生，维护环京和县域生态安全。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面积</w:t>
            </w:r>
          </w:p>
        </w:tc>
        <w:tc>
          <w:tcPr>
            <w:tcW w:w="2835" w:type="dxa"/>
            <w:noWrap w:val="0"/>
            <w:vAlign w:val="center"/>
          </w:tcPr>
          <w:p>
            <w:pPr>
              <w:pStyle w:val="18"/>
            </w:pPr>
            <w:r>
              <w:t>林业有害生物防治面积</w:t>
            </w:r>
          </w:p>
        </w:tc>
        <w:tc>
          <w:tcPr>
            <w:tcW w:w="2551" w:type="dxa"/>
            <w:noWrap w:val="0"/>
            <w:vAlign w:val="center"/>
          </w:tcPr>
          <w:p>
            <w:pPr>
              <w:pStyle w:val="18"/>
            </w:pPr>
            <w:r>
              <w:t>≥15万亩</w:t>
            </w:r>
          </w:p>
        </w:tc>
        <w:tc>
          <w:tcPr>
            <w:tcW w:w="2268" w:type="dxa"/>
            <w:noWrap w:val="0"/>
            <w:vAlign w:val="center"/>
          </w:tcPr>
          <w:p>
            <w:pPr>
              <w:pStyle w:val="18"/>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防治率</w:t>
            </w:r>
          </w:p>
        </w:tc>
        <w:tc>
          <w:tcPr>
            <w:tcW w:w="2835" w:type="dxa"/>
            <w:noWrap w:val="0"/>
            <w:vAlign w:val="center"/>
          </w:tcPr>
          <w:p>
            <w:pPr>
              <w:pStyle w:val="18"/>
            </w:pPr>
            <w:r>
              <w:t>病虫害防治面积占虫情发生面积的比例</w:t>
            </w:r>
          </w:p>
        </w:tc>
        <w:tc>
          <w:tcPr>
            <w:tcW w:w="2551" w:type="dxa"/>
            <w:noWrap w:val="0"/>
            <w:vAlign w:val="center"/>
          </w:tcPr>
          <w:p>
            <w:pPr>
              <w:pStyle w:val="18"/>
            </w:pPr>
            <w:r>
              <w:t>≥90%</w:t>
            </w:r>
          </w:p>
        </w:tc>
        <w:tc>
          <w:tcPr>
            <w:tcW w:w="2268" w:type="dxa"/>
            <w:noWrap w:val="0"/>
            <w:vAlign w:val="center"/>
          </w:tcPr>
          <w:p>
            <w:pPr>
              <w:pStyle w:val="18"/>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防治完成时间</w:t>
            </w:r>
          </w:p>
        </w:tc>
        <w:tc>
          <w:tcPr>
            <w:tcW w:w="2835" w:type="dxa"/>
            <w:noWrap w:val="0"/>
            <w:vAlign w:val="center"/>
          </w:tcPr>
          <w:p>
            <w:pPr>
              <w:pStyle w:val="18"/>
            </w:pPr>
            <w:r>
              <w:t>按防治计划完成防治的月份</w:t>
            </w:r>
          </w:p>
        </w:tc>
        <w:tc>
          <w:tcPr>
            <w:tcW w:w="2551" w:type="dxa"/>
            <w:noWrap w:val="0"/>
            <w:vAlign w:val="center"/>
          </w:tcPr>
          <w:p>
            <w:pPr>
              <w:pStyle w:val="18"/>
            </w:pPr>
            <w:r>
              <w:t>12月</w:t>
            </w:r>
          </w:p>
        </w:tc>
        <w:tc>
          <w:tcPr>
            <w:tcW w:w="2268" w:type="dxa"/>
            <w:noWrap w:val="0"/>
            <w:vAlign w:val="center"/>
          </w:tcPr>
          <w:p>
            <w:pPr>
              <w:pStyle w:val="18"/>
            </w:pPr>
            <w:r>
              <w:t>防治方案和历年数据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超预算金额占预算的比例</w:t>
            </w:r>
          </w:p>
        </w:tc>
        <w:tc>
          <w:tcPr>
            <w:tcW w:w="2551" w:type="dxa"/>
            <w:noWrap w:val="0"/>
            <w:vAlign w:val="center"/>
          </w:tcPr>
          <w:p>
            <w:pPr>
              <w:pStyle w:val="18"/>
            </w:pPr>
            <w:r>
              <w:t>≤10%</w:t>
            </w:r>
          </w:p>
        </w:tc>
        <w:tc>
          <w:tcPr>
            <w:tcW w:w="2268" w:type="dxa"/>
            <w:noWrap w:val="0"/>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成灾率</w:t>
            </w:r>
          </w:p>
        </w:tc>
        <w:tc>
          <w:tcPr>
            <w:tcW w:w="2835" w:type="dxa"/>
            <w:noWrap w:val="0"/>
            <w:vAlign w:val="center"/>
          </w:tcPr>
          <w:p>
            <w:pPr>
              <w:pStyle w:val="18"/>
            </w:pPr>
            <w:r>
              <w:t>年度成灾率</w:t>
            </w:r>
          </w:p>
        </w:tc>
        <w:tc>
          <w:tcPr>
            <w:tcW w:w="2551" w:type="dxa"/>
            <w:noWrap w:val="0"/>
            <w:vAlign w:val="center"/>
          </w:tcPr>
          <w:p>
            <w:pPr>
              <w:pStyle w:val="18"/>
            </w:pPr>
            <w:r>
              <w:t>≤4‰</w:t>
            </w:r>
          </w:p>
        </w:tc>
        <w:tc>
          <w:tcPr>
            <w:tcW w:w="2268" w:type="dxa"/>
            <w:noWrap w:val="0"/>
            <w:vAlign w:val="center"/>
          </w:tcPr>
          <w:p>
            <w:pPr>
              <w:pStyle w:val="18"/>
            </w:pPr>
            <w:r>
              <w:t>文件要求或实际调查情况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生态效益指标</w:t>
            </w:r>
          </w:p>
        </w:tc>
        <w:tc>
          <w:tcPr>
            <w:tcW w:w="2835" w:type="dxa"/>
            <w:noWrap w:val="0"/>
            <w:vAlign w:val="center"/>
          </w:tcPr>
          <w:p>
            <w:pPr>
              <w:pStyle w:val="18"/>
            </w:pPr>
            <w:r>
              <w:t>森林资源总量</w:t>
            </w:r>
          </w:p>
        </w:tc>
        <w:tc>
          <w:tcPr>
            <w:tcW w:w="2835" w:type="dxa"/>
            <w:noWrap w:val="0"/>
            <w:vAlign w:val="center"/>
          </w:tcPr>
          <w:p>
            <w:pPr>
              <w:pStyle w:val="18"/>
            </w:pPr>
            <w:r>
              <w:t>森林资源保存率</w:t>
            </w:r>
          </w:p>
        </w:tc>
        <w:tc>
          <w:tcPr>
            <w:tcW w:w="2551" w:type="dxa"/>
            <w:noWrap w:val="0"/>
            <w:vAlign w:val="center"/>
          </w:tcPr>
          <w:p>
            <w:pPr>
              <w:pStyle w:val="18"/>
            </w:pPr>
            <w:r>
              <w:t>≥85%</w:t>
            </w:r>
          </w:p>
        </w:tc>
        <w:tc>
          <w:tcPr>
            <w:tcW w:w="2268" w:type="dxa"/>
            <w:noWrap w:val="0"/>
            <w:vAlign w:val="center"/>
          </w:tcPr>
          <w:p>
            <w:pPr>
              <w:pStyle w:val="18"/>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有效防治时间</w:t>
            </w:r>
          </w:p>
        </w:tc>
        <w:tc>
          <w:tcPr>
            <w:tcW w:w="2835" w:type="dxa"/>
            <w:noWrap w:val="0"/>
            <w:vAlign w:val="center"/>
          </w:tcPr>
          <w:p>
            <w:pPr>
              <w:pStyle w:val="18"/>
            </w:pPr>
            <w:r>
              <w:t>防治效果持续时间</w:t>
            </w:r>
          </w:p>
        </w:tc>
        <w:tc>
          <w:tcPr>
            <w:tcW w:w="2551" w:type="dxa"/>
            <w:noWrap w:val="0"/>
            <w:vAlign w:val="center"/>
          </w:tcPr>
          <w:p>
            <w:pPr>
              <w:pStyle w:val="18"/>
            </w:pPr>
            <w:r>
              <w:t>≥10月</w:t>
            </w:r>
          </w:p>
        </w:tc>
        <w:tc>
          <w:tcPr>
            <w:tcW w:w="2268" w:type="dxa"/>
            <w:noWrap w:val="0"/>
            <w:vAlign w:val="center"/>
          </w:tcPr>
          <w:p>
            <w:pPr>
              <w:pStyle w:val="18"/>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51、区域地质灾害危险性评估及压覆重要矿产资源评估资金绩效目标表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1.通过项目的开展完成全县范围内区域地质灾害危险性评估及压覆重要矿产资源评估工作，减少灾害发生频次，更好的了解压覆性重要矿产资源。</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评估完成率</w:t>
            </w:r>
          </w:p>
        </w:tc>
        <w:tc>
          <w:tcPr>
            <w:tcW w:w="2835" w:type="dxa"/>
            <w:noWrap w:val="0"/>
            <w:vAlign w:val="center"/>
          </w:tcPr>
          <w:p>
            <w:pPr>
              <w:pStyle w:val="18"/>
            </w:pPr>
            <w:r>
              <w:t>实际评估数量占应评估数量的比率</w:t>
            </w:r>
          </w:p>
        </w:tc>
        <w:tc>
          <w:tcPr>
            <w:tcW w:w="2551" w:type="dxa"/>
            <w:noWrap w:val="0"/>
            <w:vAlign w:val="center"/>
          </w:tcPr>
          <w:p>
            <w:pPr>
              <w:pStyle w:val="18"/>
            </w:pPr>
            <w:r>
              <w:t>100%</w:t>
            </w:r>
          </w:p>
        </w:tc>
        <w:tc>
          <w:tcPr>
            <w:tcW w:w="2268" w:type="dxa"/>
            <w:noWrap w:val="0"/>
            <w:vAlign w:val="center"/>
          </w:tcPr>
          <w:p>
            <w:pPr>
              <w:pStyle w:val="18"/>
            </w:pPr>
            <w:r>
              <w:t>大厂回族自治县政府采购合同书（服务类）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验收合格的数量占评估总数量的比例</w:t>
            </w:r>
          </w:p>
        </w:tc>
        <w:tc>
          <w:tcPr>
            <w:tcW w:w="2551" w:type="dxa"/>
            <w:noWrap w:val="0"/>
            <w:vAlign w:val="center"/>
          </w:tcPr>
          <w:p>
            <w:pPr>
              <w:pStyle w:val="18"/>
            </w:pPr>
            <w:r>
              <w:t>100%</w:t>
            </w:r>
          </w:p>
        </w:tc>
        <w:tc>
          <w:tcPr>
            <w:tcW w:w="2268" w:type="dxa"/>
            <w:noWrap w:val="0"/>
            <w:vAlign w:val="center"/>
          </w:tcPr>
          <w:p>
            <w:pPr>
              <w:pStyle w:val="18"/>
            </w:pPr>
            <w:r>
              <w:t>大厂回族自治县政府采购合同书（服务类）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按照文件要求或工作计划及时完成评估工作</w:t>
            </w:r>
          </w:p>
        </w:tc>
        <w:tc>
          <w:tcPr>
            <w:tcW w:w="2551" w:type="dxa"/>
            <w:noWrap w:val="0"/>
            <w:vAlign w:val="center"/>
          </w:tcPr>
          <w:p>
            <w:pPr>
              <w:pStyle w:val="18"/>
            </w:pPr>
            <w:r>
              <w:t>≤12月</w:t>
            </w:r>
          </w:p>
        </w:tc>
        <w:tc>
          <w:tcPr>
            <w:tcW w:w="2268" w:type="dxa"/>
            <w:noWrap w:val="0"/>
            <w:vAlign w:val="center"/>
          </w:tcPr>
          <w:p>
            <w:pPr>
              <w:pStyle w:val="18"/>
            </w:pPr>
            <w:r>
              <w:t>大厂回族自治县政府采购合同书（服务类）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大厂回族自治县政府采购合同书（服务类）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技术支持准确率</w:t>
            </w:r>
          </w:p>
        </w:tc>
        <w:tc>
          <w:tcPr>
            <w:tcW w:w="2835" w:type="dxa"/>
            <w:noWrap w:val="0"/>
            <w:vAlign w:val="center"/>
          </w:tcPr>
          <w:p>
            <w:pPr>
              <w:pStyle w:val="18"/>
            </w:pPr>
            <w:r>
              <w:t>国有建设用地供应提供技术支持的准确性</w:t>
            </w:r>
          </w:p>
        </w:tc>
        <w:tc>
          <w:tcPr>
            <w:tcW w:w="2551" w:type="dxa"/>
            <w:noWrap w:val="0"/>
            <w:vAlign w:val="center"/>
          </w:tcPr>
          <w:p>
            <w:pPr>
              <w:pStyle w:val="18"/>
            </w:pPr>
            <w:r>
              <w:t>100%</w:t>
            </w:r>
          </w:p>
        </w:tc>
        <w:tc>
          <w:tcPr>
            <w:tcW w:w="2268" w:type="dxa"/>
            <w:noWrap w:val="0"/>
            <w:vAlign w:val="center"/>
          </w:tcPr>
          <w:p>
            <w:pPr>
              <w:pStyle w:val="18"/>
            </w:pPr>
            <w:r>
              <w:t>河北省自然资源厅关于明确近期建设用地报批要求的通知》、《廊坊市工程建设项目区域评估实施细则》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矿产资源评估持续有效时间</w:t>
            </w:r>
          </w:p>
        </w:tc>
        <w:tc>
          <w:tcPr>
            <w:tcW w:w="2835" w:type="dxa"/>
            <w:noWrap w:val="0"/>
            <w:vAlign w:val="center"/>
          </w:tcPr>
          <w:p>
            <w:pPr>
              <w:pStyle w:val="18"/>
            </w:pPr>
            <w:r>
              <w:t>矿产资源评估结果的有效利用时限</w:t>
            </w:r>
          </w:p>
        </w:tc>
        <w:tc>
          <w:tcPr>
            <w:tcW w:w="2551" w:type="dxa"/>
            <w:noWrap w:val="0"/>
            <w:vAlign w:val="center"/>
          </w:tcPr>
          <w:p>
            <w:pPr>
              <w:pStyle w:val="18"/>
            </w:pPr>
            <w:r>
              <w:t>≥2年</w:t>
            </w:r>
          </w:p>
        </w:tc>
        <w:tc>
          <w:tcPr>
            <w:tcW w:w="2268" w:type="dxa"/>
            <w:noWrap w:val="0"/>
            <w:vAlign w:val="center"/>
          </w:tcPr>
          <w:p>
            <w:pPr>
              <w:pStyle w:val="18"/>
            </w:pPr>
            <w:r>
              <w:t>相关文件及法规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服务对象对矿产资源评估项目的满意度</w:t>
            </w:r>
          </w:p>
        </w:tc>
        <w:tc>
          <w:tcPr>
            <w:tcW w:w="2551" w:type="dxa"/>
            <w:noWrap w:val="0"/>
            <w:vAlign w:val="center"/>
          </w:tcPr>
          <w:p>
            <w:pPr>
              <w:pStyle w:val="18"/>
            </w:pPr>
            <w:r>
              <w:t>≥90%</w:t>
            </w:r>
          </w:p>
        </w:tc>
        <w:tc>
          <w:tcPr>
            <w:tcW w:w="2268" w:type="dxa"/>
            <w:noWrap w:val="0"/>
            <w:vAlign w:val="center"/>
          </w:tcPr>
          <w:p>
            <w:pPr>
              <w:pStyle w:val="18"/>
            </w:pPr>
            <w:r>
              <w:t>根据下发的通报、批评记录</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52、全县森林和草原火灾风险普查项目绩效目标表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1.通过项目的开展，能够避免森林火灾的发生率，保障人民财产安全。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火灾风险普查覆盖率</w:t>
            </w:r>
          </w:p>
        </w:tc>
        <w:tc>
          <w:tcPr>
            <w:tcW w:w="2835" w:type="dxa"/>
            <w:noWrap w:val="0"/>
            <w:vAlign w:val="center"/>
          </w:tcPr>
          <w:p>
            <w:pPr>
              <w:pStyle w:val="18"/>
            </w:pPr>
            <w:r>
              <w:t>实际进行的森林和草原火灾风险普查的范围占应进行森林和草原火灾风险普查的范围</w:t>
            </w:r>
          </w:p>
        </w:tc>
        <w:tc>
          <w:tcPr>
            <w:tcW w:w="2551" w:type="dxa"/>
            <w:noWrap w:val="0"/>
            <w:vAlign w:val="center"/>
          </w:tcPr>
          <w:p>
            <w:pPr>
              <w:pStyle w:val="18"/>
            </w:pPr>
            <w:r>
              <w:t>100%</w:t>
            </w:r>
          </w:p>
        </w:tc>
        <w:tc>
          <w:tcPr>
            <w:tcW w:w="2268" w:type="dxa"/>
            <w:noWrap w:val="0"/>
            <w:vAlign w:val="center"/>
          </w:tcPr>
          <w:p>
            <w:pPr>
              <w:pStyle w:val="18"/>
            </w:pPr>
            <w:r>
              <w:t>冀林草字[2021]169号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验收合格率</w:t>
            </w:r>
          </w:p>
        </w:tc>
        <w:tc>
          <w:tcPr>
            <w:tcW w:w="2835" w:type="dxa"/>
            <w:noWrap w:val="0"/>
            <w:vAlign w:val="center"/>
          </w:tcPr>
          <w:p>
            <w:pPr>
              <w:pStyle w:val="18"/>
            </w:pPr>
            <w:r>
              <w:t>项目开展的实际合格验收成果占总验收成果的利率</w:t>
            </w:r>
          </w:p>
        </w:tc>
        <w:tc>
          <w:tcPr>
            <w:tcW w:w="2551" w:type="dxa"/>
            <w:noWrap w:val="0"/>
            <w:vAlign w:val="center"/>
          </w:tcPr>
          <w:p>
            <w:pPr>
              <w:pStyle w:val="18"/>
            </w:pPr>
            <w:r>
              <w:t>100%</w:t>
            </w:r>
          </w:p>
        </w:tc>
        <w:tc>
          <w:tcPr>
            <w:tcW w:w="2268" w:type="dxa"/>
            <w:noWrap w:val="0"/>
            <w:vAlign w:val="center"/>
          </w:tcPr>
          <w:p>
            <w:pPr>
              <w:pStyle w:val="18"/>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更新成果完成时间</w:t>
            </w:r>
          </w:p>
        </w:tc>
        <w:tc>
          <w:tcPr>
            <w:tcW w:w="2551" w:type="dxa"/>
            <w:noWrap w:val="0"/>
            <w:vAlign w:val="center"/>
          </w:tcPr>
          <w:p>
            <w:pPr>
              <w:pStyle w:val="18"/>
            </w:pPr>
            <w:r>
              <w:t>及时</w:t>
            </w:r>
          </w:p>
        </w:tc>
        <w:tc>
          <w:tcPr>
            <w:tcW w:w="2268" w:type="dxa"/>
            <w:noWrap w:val="0"/>
            <w:vAlign w:val="center"/>
          </w:tcPr>
          <w:p>
            <w:pPr>
              <w:pStyle w:val="18"/>
            </w:pPr>
            <w:r>
              <w:t>依照合同工期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超概算金额占概算的比例</w:t>
            </w:r>
          </w:p>
        </w:tc>
        <w:tc>
          <w:tcPr>
            <w:tcW w:w="2551" w:type="dxa"/>
            <w:noWrap w:val="0"/>
            <w:vAlign w:val="center"/>
          </w:tcPr>
          <w:p>
            <w:pPr>
              <w:pStyle w:val="18"/>
            </w:pPr>
            <w:r>
              <w:t>≤10%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森林火灾综合防治能力提升率</w:t>
            </w:r>
          </w:p>
        </w:tc>
        <w:tc>
          <w:tcPr>
            <w:tcW w:w="2835" w:type="dxa"/>
            <w:noWrap w:val="0"/>
            <w:vAlign w:val="center"/>
          </w:tcPr>
          <w:p>
            <w:pPr>
              <w:pStyle w:val="18"/>
            </w:pPr>
            <w:r>
              <w:t>提升森林火灾综合防治能力</w:t>
            </w:r>
          </w:p>
        </w:tc>
        <w:tc>
          <w:tcPr>
            <w:tcW w:w="2551" w:type="dxa"/>
            <w:noWrap w:val="0"/>
            <w:vAlign w:val="center"/>
          </w:tcPr>
          <w:p>
            <w:pPr>
              <w:pStyle w:val="18"/>
            </w:pPr>
            <w:r>
              <w:t>≥90%</w:t>
            </w:r>
          </w:p>
        </w:tc>
        <w:tc>
          <w:tcPr>
            <w:tcW w:w="2268" w:type="dxa"/>
            <w:noWrap w:val="0"/>
            <w:vAlign w:val="center"/>
          </w:tcPr>
          <w:p>
            <w:pPr>
              <w:pStyle w:val="18"/>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经济效益指标</w:t>
            </w:r>
          </w:p>
        </w:tc>
        <w:tc>
          <w:tcPr>
            <w:tcW w:w="2835" w:type="dxa"/>
            <w:noWrap w:val="0"/>
            <w:vAlign w:val="center"/>
          </w:tcPr>
          <w:p>
            <w:pPr>
              <w:pStyle w:val="18"/>
            </w:pPr>
            <w:r>
              <w:t>经济损失降低率</w:t>
            </w:r>
          </w:p>
        </w:tc>
        <w:tc>
          <w:tcPr>
            <w:tcW w:w="2835" w:type="dxa"/>
            <w:noWrap w:val="0"/>
            <w:vAlign w:val="center"/>
          </w:tcPr>
          <w:p>
            <w:pPr>
              <w:pStyle w:val="18"/>
            </w:pPr>
            <w:r>
              <w:t>降低人民财产受到侵害能力</w:t>
            </w:r>
          </w:p>
        </w:tc>
        <w:tc>
          <w:tcPr>
            <w:tcW w:w="2551" w:type="dxa"/>
            <w:noWrap w:val="0"/>
            <w:vAlign w:val="center"/>
          </w:tcPr>
          <w:p>
            <w:pPr>
              <w:pStyle w:val="18"/>
            </w:pPr>
            <w:r>
              <w:t>≥90%</w:t>
            </w:r>
          </w:p>
        </w:tc>
        <w:tc>
          <w:tcPr>
            <w:tcW w:w="2268" w:type="dxa"/>
            <w:noWrap w:val="0"/>
            <w:vAlign w:val="center"/>
          </w:tcPr>
          <w:p>
            <w:pPr>
              <w:pStyle w:val="18"/>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森林火灾综合防治时间</w:t>
            </w:r>
          </w:p>
        </w:tc>
        <w:tc>
          <w:tcPr>
            <w:tcW w:w="2835" w:type="dxa"/>
            <w:noWrap w:val="0"/>
            <w:vAlign w:val="center"/>
          </w:tcPr>
          <w:p>
            <w:pPr>
              <w:pStyle w:val="18"/>
            </w:pPr>
            <w:r>
              <w:t>森林火灾综合防治时间</w:t>
            </w:r>
          </w:p>
        </w:tc>
        <w:tc>
          <w:tcPr>
            <w:tcW w:w="2551" w:type="dxa"/>
            <w:noWrap w:val="0"/>
            <w:vAlign w:val="center"/>
          </w:tcPr>
          <w:p>
            <w:pPr>
              <w:pStyle w:val="18"/>
            </w:pPr>
            <w:r>
              <w:t>1年</w:t>
            </w:r>
          </w:p>
        </w:tc>
        <w:tc>
          <w:tcPr>
            <w:tcW w:w="2268" w:type="dxa"/>
            <w:noWrap w:val="0"/>
            <w:vAlign w:val="center"/>
          </w:tcPr>
          <w:p>
            <w:pPr>
              <w:pStyle w:val="18"/>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53、全县森林资源调查摸底经费绩效目标表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 xml:space="preserve">1.统计全县森林资源情况，摸清城镇森林化、乡村林果化具体数量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森林资源调查摸底内容成果</w:t>
            </w:r>
          </w:p>
        </w:tc>
        <w:tc>
          <w:tcPr>
            <w:tcW w:w="2835" w:type="dxa"/>
            <w:noWrap w:val="0"/>
            <w:vAlign w:val="center"/>
          </w:tcPr>
          <w:p>
            <w:pPr>
              <w:pStyle w:val="18"/>
            </w:pPr>
            <w:r>
              <w:t>聘请第三方公司开展我县森林资源调查摸底工作，统计全县森林资源情况，摸清城镇森林化、乡村林果化具体数量</w:t>
            </w:r>
          </w:p>
        </w:tc>
        <w:tc>
          <w:tcPr>
            <w:tcW w:w="2551" w:type="dxa"/>
            <w:noWrap w:val="0"/>
            <w:vAlign w:val="center"/>
          </w:tcPr>
          <w:p>
            <w:pPr>
              <w:pStyle w:val="18"/>
            </w:pPr>
            <w:r>
              <w:t>2本</w:t>
            </w:r>
          </w:p>
        </w:tc>
        <w:tc>
          <w:tcPr>
            <w:tcW w:w="2268"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成果验收合格率</w:t>
            </w:r>
          </w:p>
        </w:tc>
        <w:tc>
          <w:tcPr>
            <w:tcW w:w="2835" w:type="dxa"/>
            <w:noWrap w:val="0"/>
            <w:vAlign w:val="center"/>
          </w:tcPr>
          <w:p>
            <w:pPr>
              <w:pStyle w:val="18"/>
            </w:pPr>
            <w:r>
              <w:t>相关技术成果通过验收</w:t>
            </w:r>
          </w:p>
        </w:tc>
        <w:tc>
          <w:tcPr>
            <w:tcW w:w="2551" w:type="dxa"/>
            <w:noWrap w:val="0"/>
            <w:vAlign w:val="center"/>
          </w:tcPr>
          <w:p>
            <w:pPr>
              <w:pStyle w:val="18"/>
            </w:pPr>
            <w:r>
              <w:t>100%</w:t>
            </w:r>
          </w:p>
        </w:tc>
        <w:tc>
          <w:tcPr>
            <w:tcW w:w="2268" w:type="dxa"/>
            <w:noWrap w:val="0"/>
            <w:vAlign w:val="center"/>
          </w:tcPr>
          <w:p>
            <w:pPr>
              <w:pStyle w:val="18"/>
            </w:pPr>
            <w: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项目实施时间</w:t>
            </w:r>
          </w:p>
        </w:tc>
        <w:tc>
          <w:tcPr>
            <w:tcW w:w="2835" w:type="dxa"/>
            <w:noWrap w:val="0"/>
            <w:vAlign w:val="center"/>
          </w:tcPr>
          <w:p>
            <w:pPr>
              <w:pStyle w:val="18"/>
            </w:pPr>
            <w:r>
              <w:t>项目实施时间</w:t>
            </w:r>
          </w:p>
        </w:tc>
        <w:tc>
          <w:tcPr>
            <w:tcW w:w="2551" w:type="dxa"/>
            <w:noWrap w:val="0"/>
            <w:vAlign w:val="center"/>
          </w:tcPr>
          <w:p>
            <w:pPr>
              <w:pStyle w:val="18"/>
            </w:pPr>
            <w:r>
              <w:t>1年</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与社会平均成本比较</w:t>
            </w:r>
          </w:p>
        </w:tc>
        <w:tc>
          <w:tcPr>
            <w:tcW w:w="2835" w:type="dxa"/>
            <w:noWrap w:val="0"/>
            <w:vAlign w:val="center"/>
          </w:tcPr>
          <w:p>
            <w:pPr>
              <w:pStyle w:val="18"/>
            </w:pPr>
            <w:r>
              <w:t>与社会平均成本比较</w:t>
            </w:r>
          </w:p>
        </w:tc>
        <w:tc>
          <w:tcPr>
            <w:tcW w:w="2551" w:type="dxa"/>
            <w:noWrap w:val="0"/>
            <w:vAlign w:val="center"/>
          </w:tcPr>
          <w:p>
            <w:pPr>
              <w:pStyle w:val="18"/>
            </w:pPr>
            <w:r>
              <w:t>≤95%</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成果应用率或转化次数率</w:t>
            </w:r>
          </w:p>
        </w:tc>
        <w:tc>
          <w:tcPr>
            <w:tcW w:w="2835" w:type="dxa"/>
            <w:noWrap w:val="0"/>
            <w:vAlign w:val="center"/>
          </w:tcPr>
          <w:p>
            <w:pPr>
              <w:pStyle w:val="18"/>
            </w:pPr>
            <w:r>
              <w:t>成果应用、转化次数</w:t>
            </w:r>
          </w:p>
        </w:tc>
        <w:tc>
          <w:tcPr>
            <w:tcW w:w="2551" w:type="dxa"/>
            <w:noWrap w:val="0"/>
            <w:vAlign w:val="center"/>
          </w:tcPr>
          <w:p>
            <w:pPr>
              <w:pStyle w:val="18"/>
            </w:pPr>
            <w:r>
              <w:t>≥80%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摸底成果使用时间</w:t>
            </w:r>
          </w:p>
        </w:tc>
        <w:tc>
          <w:tcPr>
            <w:tcW w:w="2835" w:type="dxa"/>
            <w:noWrap w:val="0"/>
            <w:vAlign w:val="center"/>
          </w:tcPr>
          <w:p>
            <w:pPr>
              <w:pStyle w:val="18"/>
            </w:pPr>
            <w:r>
              <w:t>摸底成果使用时间</w:t>
            </w:r>
          </w:p>
          <w:p>
            <w:pPr>
              <w:pStyle w:val="18"/>
            </w:pPr>
          </w:p>
        </w:tc>
        <w:tc>
          <w:tcPr>
            <w:tcW w:w="2551" w:type="dxa"/>
            <w:noWrap w:val="0"/>
            <w:vAlign w:val="center"/>
          </w:tcPr>
          <w:p>
            <w:pPr>
              <w:pStyle w:val="18"/>
            </w:pPr>
            <w:r>
              <w:t>1年</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政府满意度</w:t>
            </w:r>
          </w:p>
        </w:tc>
        <w:tc>
          <w:tcPr>
            <w:tcW w:w="2835" w:type="dxa"/>
            <w:noWrap w:val="0"/>
            <w:vAlign w:val="center"/>
          </w:tcPr>
          <w:p>
            <w:pPr>
              <w:pStyle w:val="18"/>
            </w:pPr>
            <w:r>
              <w:t>政府满意度</w:t>
            </w:r>
          </w:p>
        </w:tc>
        <w:tc>
          <w:tcPr>
            <w:tcW w:w="2551" w:type="dxa"/>
            <w:noWrap w:val="0"/>
            <w:vAlign w:val="center"/>
          </w:tcPr>
          <w:p>
            <w:pPr>
              <w:pStyle w:val="18"/>
            </w:pPr>
            <w:r>
              <w:t>100%</w:t>
            </w:r>
          </w:p>
        </w:tc>
        <w:tc>
          <w:tcPr>
            <w:tcW w:w="2268" w:type="dxa"/>
            <w:noWrap w:val="0"/>
            <w:vAlign w:val="center"/>
          </w:tcPr>
          <w:p>
            <w:pPr>
              <w:pStyle w:val="18"/>
            </w:pPr>
            <w:r>
              <w:t>相关工作通报表扬情况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54、土地征收成片开发标准编制项目经费绩效目标表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1.土地征收成片开发，是指在国土空间规划确定的城镇开发边界内的集中建设区，由县级以上地方人民政府组织的对一定范围的土地进行的综合性开发建设活动。</w:t>
            </w:r>
          </w:p>
          <w:p>
            <w:pPr>
              <w:pStyle w:val="18"/>
            </w:pPr>
            <w:r>
              <w:t>2.土地征收成片开发应当坚持新发展理念，以人民为中心，注重保护耕地，注重维护农民合法权益，注重节约集约用地，注重生态环境保护，促进当地经济社会可持续发展。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土地成片开发方案编制数量</w:t>
            </w:r>
          </w:p>
        </w:tc>
        <w:tc>
          <w:tcPr>
            <w:tcW w:w="2835" w:type="dxa"/>
            <w:noWrap w:val="0"/>
            <w:vAlign w:val="center"/>
          </w:tcPr>
          <w:p>
            <w:pPr>
              <w:pStyle w:val="18"/>
            </w:pPr>
            <w:r>
              <w:t>土地征收成片开发标准编制数量情况</w:t>
            </w:r>
          </w:p>
        </w:tc>
        <w:tc>
          <w:tcPr>
            <w:tcW w:w="2551" w:type="dxa"/>
            <w:noWrap w:val="0"/>
            <w:vAlign w:val="center"/>
          </w:tcPr>
          <w:p>
            <w:pPr>
              <w:pStyle w:val="18"/>
            </w:pPr>
            <w:r>
              <w:t>1个</w:t>
            </w:r>
          </w:p>
        </w:tc>
        <w:tc>
          <w:tcPr>
            <w:tcW w:w="2268" w:type="dxa"/>
            <w:noWrap w:val="0"/>
            <w:vAlign w:val="center"/>
          </w:tcPr>
          <w:p>
            <w:pPr>
              <w:pStyle w:val="18"/>
            </w:pPr>
            <w:r>
              <w:t>自然资源部关于印发《土地征收成片开发标准（试行）》的通知</w:t>
            </w:r>
          </w:p>
          <w:p>
            <w:pPr>
              <w:pStyle w:val="18"/>
            </w:pPr>
            <w:r>
              <w:t>自然资规〔2020〕5号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成果编制合格率</w:t>
            </w:r>
          </w:p>
        </w:tc>
        <w:tc>
          <w:tcPr>
            <w:tcW w:w="2835" w:type="dxa"/>
            <w:noWrap w:val="0"/>
            <w:vAlign w:val="center"/>
          </w:tcPr>
          <w:p>
            <w:pPr>
              <w:pStyle w:val="18"/>
            </w:pPr>
            <w:r>
              <w:t>成果编制情况</w:t>
            </w:r>
          </w:p>
        </w:tc>
        <w:tc>
          <w:tcPr>
            <w:tcW w:w="2551" w:type="dxa"/>
            <w:noWrap w:val="0"/>
            <w:vAlign w:val="center"/>
          </w:tcPr>
          <w:p>
            <w:pPr>
              <w:pStyle w:val="18"/>
            </w:pPr>
            <w:r>
              <w:t>100%</w:t>
            </w:r>
          </w:p>
        </w:tc>
        <w:tc>
          <w:tcPr>
            <w:tcW w:w="2268" w:type="dxa"/>
            <w:noWrap w:val="0"/>
            <w:vAlign w:val="center"/>
          </w:tcPr>
          <w:p>
            <w:pPr>
              <w:pStyle w:val="18"/>
            </w:pPr>
            <w:r>
              <w:t>验收成果文件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成果编制完成时间</w:t>
            </w:r>
          </w:p>
        </w:tc>
        <w:tc>
          <w:tcPr>
            <w:tcW w:w="2835" w:type="dxa"/>
            <w:noWrap w:val="0"/>
            <w:vAlign w:val="center"/>
          </w:tcPr>
          <w:p>
            <w:pPr>
              <w:pStyle w:val="18"/>
            </w:pPr>
            <w:r>
              <w:t>编制完成时间</w:t>
            </w:r>
          </w:p>
        </w:tc>
        <w:tc>
          <w:tcPr>
            <w:tcW w:w="2551" w:type="dxa"/>
            <w:noWrap w:val="0"/>
            <w:vAlign w:val="center"/>
          </w:tcPr>
          <w:p>
            <w:pPr>
              <w:pStyle w:val="18"/>
            </w:pPr>
            <w:r>
              <w:t>及时</w:t>
            </w:r>
          </w:p>
        </w:tc>
        <w:tc>
          <w:tcPr>
            <w:tcW w:w="2268" w:type="dxa"/>
            <w:noWrap w:val="0"/>
            <w:vAlign w:val="center"/>
          </w:tcPr>
          <w:p>
            <w:pPr>
              <w:pStyle w:val="18"/>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超预算金额占预算的比例</w:t>
            </w:r>
          </w:p>
        </w:tc>
        <w:tc>
          <w:tcPr>
            <w:tcW w:w="2551" w:type="dxa"/>
            <w:noWrap w:val="0"/>
            <w:vAlign w:val="center"/>
          </w:tcPr>
          <w:p>
            <w:pPr>
              <w:pStyle w:val="18"/>
            </w:pPr>
            <w:r>
              <w:t>≤10%</w:t>
            </w:r>
          </w:p>
        </w:tc>
        <w:tc>
          <w:tcPr>
            <w:tcW w:w="2268" w:type="dxa"/>
            <w:noWrap w:val="0"/>
            <w:vAlign w:val="center"/>
          </w:tcPr>
          <w:p>
            <w:pPr>
              <w:pStyle w:val="18"/>
            </w:pPr>
            <w: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土地资源合理配置提供依据准确率</w:t>
            </w:r>
          </w:p>
        </w:tc>
        <w:tc>
          <w:tcPr>
            <w:tcW w:w="2835" w:type="dxa"/>
            <w:noWrap w:val="0"/>
            <w:vAlign w:val="center"/>
          </w:tcPr>
          <w:p>
            <w:pPr>
              <w:pStyle w:val="18"/>
            </w:pPr>
            <w:r>
              <w:t>成果为土地征收合理配置提供依据情况</w:t>
            </w:r>
          </w:p>
        </w:tc>
        <w:tc>
          <w:tcPr>
            <w:tcW w:w="2551" w:type="dxa"/>
            <w:noWrap w:val="0"/>
            <w:vAlign w:val="center"/>
          </w:tcPr>
          <w:p>
            <w:pPr>
              <w:pStyle w:val="18"/>
            </w:pPr>
            <w:r>
              <w:t>100%</w:t>
            </w:r>
          </w:p>
        </w:tc>
        <w:tc>
          <w:tcPr>
            <w:tcW w:w="2268" w:type="dxa"/>
            <w:noWrap w:val="0"/>
            <w:vAlign w:val="center"/>
          </w:tcPr>
          <w:p>
            <w:pPr>
              <w:pStyle w:val="18"/>
            </w:pPr>
            <w:r>
              <w:t>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土地成片开发方案影响时限</w:t>
            </w:r>
          </w:p>
        </w:tc>
        <w:tc>
          <w:tcPr>
            <w:tcW w:w="2835" w:type="dxa"/>
            <w:noWrap w:val="0"/>
            <w:vAlign w:val="center"/>
          </w:tcPr>
          <w:p>
            <w:pPr>
              <w:pStyle w:val="18"/>
            </w:pPr>
            <w:r>
              <w:t>根据上级通知要求的土地成片开发方案影响时限</w:t>
            </w:r>
          </w:p>
        </w:tc>
        <w:tc>
          <w:tcPr>
            <w:tcW w:w="2551" w:type="dxa"/>
            <w:noWrap w:val="0"/>
            <w:vAlign w:val="center"/>
          </w:tcPr>
          <w:p>
            <w:pPr>
              <w:pStyle w:val="18"/>
            </w:pPr>
            <w:r>
              <w:t>2年</w:t>
            </w:r>
          </w:p>
        </w:tc>
        <w:tc>
          <w:tcPr>
            <w:tcW w:w="2268" w:type="dxa"/>
            <w:noWrap w:val="0"/>
            <w:vAlign w:val="center"/>
          </w:tcPr>
          <w:p>
            <w:pPr>
              <w:pStyle w:val="18"/>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55、县城地下空间开发利用专项规划绩效目标表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1.按照项目实施计划，通过项目逐步开展，充分落实《协同发展规划》及其专项规划的内容，实现城乡建设按照规划统一、有序发展。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编制数量</w:t>
            </w:r>
          </w:p>
        </w:tc>
        <w:tc>
          <w:tcPr>
            <w:tcW w:w="2835" w:type="dxa"/>
            <w:noWrap w:val="0"/>
            <w:vAlign w:val="center"/>
          </w:tcPr>
          <w:p>
            <w:pPr>
              <w:pStyle w:val="18"/>
            </w:pPr>
            <w:r>
              <w:t>专项规划数量</w:t>
            </w:r>
          </w:p>
        </w:tc>
        <w:tc>
          <w:tcPr>
            <w:tcW w:w="2551" w:type="dxa"/>
            <w:noWrap w:val="0"/>
            <w:vAlign w:val="center"/>
          </w:tcPr>
          <w:p>
            <w:pPr>
              <w:pStyle w:val="18"/>
            </w:pPr>
            <w:r>
              <w:t>1项</w:t>
            </w:r>
          </w:p>
        </w:tc>
        <w:tc>
          <w:tcPr>
            <w:tcW w:w="2268" w:type="dxa"/>
            <w:noWrap w:val="0"/>
            <w:vAlign w:val="center"/>
          </w:tcPr>
          <w:p>
            <w:pPr>
              <w:pStyle w:val="18"/>
            </w:pPr>
            <w:r>
              <w:t>按照廊坊市委市政府《关于建立国土空间规划体系并监督实施的实施方案》总体框架第三条强化专项规划的指导约束作用和《大厂回族自治县国土空间规划编制工作方案》中编制详细规划和专项规划具体安排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编制完成率</w:t>
            </w:r>
          </w:p>
        </w:tc>
        <w:tc>
          <w:tcPr>
            <w:tcW w:w="2835" w:type="dxa"/>
            <w:noWrap w:val="0"/>
            <w:vAlign w:val="center"/>
          </w:tcPr>
          <w:p>
            <w:pPr>
              <w:pStyle w:val="18"/>
            </w:pPr>
            <w:r>
              <w:t>项目完成数量的占比</w:t>
            </w:r>
          </w:p>
        </w:tc>
        <w:tc>
          <w:tcPr>
            <w:tcW w:w="2551" w:type="dxa"/>
            <w:noWrap w:val="0"/>
            <w:vAlign w:val="center"/>
          </w:tcPr>
          <w:p>
            <w:pPr>
              <w:pStyle w:val="18"/>
            </w:pPr>
            <w:r>
              <w:t>100%</w:t>
            </w:r>
          </w:p>
        </w:tc>
        <w:tc>
          <w:tcPr>
            <w:tcW w:w="2268"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完成时间</w:t>
            </w:r>
          </w:p>
        </w:tc>
        <w:tc>
          <w:tcPr>
            <w:tcW w:w="2835" w:type="dxa"/>
            <w:noWrap w:val="0"/>
            <w:vAlign w:val="center"/>
          </w:tcPr>
          <w:p>
            <w:pPr>
              <w:pStyle w:val="18"/>
            </w:pPr>
            <w:r>
              <w:t>项目编制完成时间</w:t>
            </w:r>
          </w:p>
        </w:tc>
        <w:tc>
          <w:tcPr>
            <w:tcW w:w="2551" w:type="dxa"/>
            <w:noWrap w:val="0"/>
            <w:vAlign w:val="center"/>
          </w:tcPr>
          <w:p>
            <w:pPr>
              <w:pStyle w:val="18"/>
            </w:pPr>
            <w:r>
              <w:t>1年</w:t>
            </w:r>
          </w:p>
        </w:tc>
        <w:tc>
          <w:tcPr>
            <w:tcW w:w="2268"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覆盖率</w:t>
            </w:r>
          </w:p>
        </w:tc>
        <w:tc>
          <w:tcPr>
            <w:tcW w:w="2835" w:type="dxa"/>
            <w:noWrap w:val="0"/>
            <w:vAlign w:val="center"/>
          </w:tcPr>
          <w:p>
            <w:pPr>
              <w:pStyle w:val="18"/>
            </w:pPr>
            <w:r>
              <w:t>规划覆盖率</w:t>
            </w:r>
          </w:p>
        </w:tc>
        <w:tc>
          <w:tcPr>
            <w:tcW w:w="2551" w:type="dxa"/>
            <w:noWrap w:val="0"/>
            <w:vAlign w:val="center"/>
          </w:tcPr>
          <w:p>
            <w:pPr>
              <w:pStyle w:val="18"/>
            </w:pPr>
            <w:r>
              <w:t>100%</w:t>
            </w:r>
          </w:p>
        </w:tc>
        <w:tc>
          <w:tcPr>
            <w:tcW w:w="2268" w:type="dxa"/>
            <w:noWrap w:val="0"/>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使用时间</w:t>
            </w:r>
          </w:p>
        </w:tc>
        <w:tc>
          <w:tcPr>
            <w:tcW w:w="2835" w:type="dxa"/>
            <w:noWrap w:val="0"/>
            <w:vAlign w:val="center"/>
          </w:tcPr>
          <w:p>
            <w:pPr>
              <w:pStyle w:val="18"/>
            </w:pPr>
            <w:r>
              <w:t>规划成果使用时间</w:t>
            </w:r>
          </w:p>
        </w:tc>
        <w:tc>
          <w:tcPr>
            <w:tcW w:w="2551" w:type="dxa"/>
            <w:noWrap w:val="0"/>
            <w:vAlign w:val="center"/>
          </w:tcPr>
          <w:p>
            <w:pPr>
              <w:pStyle w:val="18"/>
            </w:pPr>
            <w:r>
              <w:t>1年</w:t>
            </w:r>
          </w:p>
        </w:tc>
        <w:tc>
          <w:tcPr>
            <w:tcW w:w="2268"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异议率</w:t>
            </w:r>
          </w:p>
        </w:tc>
        <w:tc>
          <w:tcPr>
            <w:tcW w:w="2835" w:type="dxa"/>
            <w:noWrap w:val="0"/>
            <w:vAlign w:val="center"/>
          </w:tcPr>
          <w:p>
            <w:pPr>
              <w:pStyle w:val="18"/>
            </w:pPr>
            <w:r>
              <w:t>对所编制的规划提出异议的比率</w:t>
            </w:r>
          </w:p>
        </w:tc>
        <w:tc>
          <w:tcPr>
            <w:tcW w:w="2551" w:type="dxa"/>
            <w:noWrap w:val="0"/>
            <w:vAlign w:val="center"/>
          </w:tcPr>
          <w:p>
            <w:pPr>
              <w:pStyle w:val="18"/>
            </w:pPr>
            <w:r>
              <w:t>0.01比率</w:t>
            </w:r>
          </w:p>
        </w:tc>
        <w:tc>
          <w:tcPr>
            <w:tcW w:w="2268" w:type="dxa"/>
            <w:noWrap w:val="0"/>
            <w:vAlign w:val="center"/>
          </w:tcPr>
          <w:p>
            <w:pPr>
              <w:pStyle w:val="18"/>
            </w:pPr>
            <w:r>
              <w:t>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56、县级增减挂钩整改实施规划等费用绩效目标表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1.通过项目的开展完成通过项目的开展完成大厂回族自治县保护耕地、保障农民土地权益，以改善农村生产生活条件，统筹城乡发展为目标，以优化用地结构和节约集约用地为重点</w:t>
            </w:r>
          </w:p>
          <w:p>
            <w:pPr>
              <w:pStyle w:val="18"/>
            </w:pPr>
            <w:r>
              <w:t>2.通过开展建新拆旧和土地整理复垦等措施，在保证项目区内各类土地面积平衡的基础上，最终实现建设用地总量不增加，耕地面积不减少，质量不降低，城乡用地布局更合理的目标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协议完成率</w:t>
            </w:r>
          </w:p>
        </w:tc>
        <w:tc>
          <w:tcPr>
            <w:tcW w:w="2835" w:type="dxa"/>
            <w:noWrap w:val="0"/>
            <w:vAlign w:val="center"/>
          </w:tcPr>
          <w:p>
            <w:pPr>
              <w:pStyle w:val="18"/>
            </w:pPr>
            <w:r>
              <w:t>实际完成的数量占应完成数量的比例</w:t>
            </w:r>
          </w:p>
        </w:tc>
        <w:tc>
          <w:tcPr>
            <w:tcW w:w="2551" w:type="dxa"/>
            <w:noWrap w:val="0"/>
            <w:vAlign w:val="center"/>
          </w:tcPr>
          <w:p>
            <w:pPr>
              <w:pStyle w:val="18"/>
            </w:pPr>
            <w:r>
              <w:t>100%</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资金支出合规率</w:t>
            </w:r>
          </w:p>
        </w:tc>
        <w:tc>
          <w:tcPr>
            <w:tcW w:w="2835" w:type="dxa"/>
            <w:noWrap w:val="0"/>
            <w:vAlign w:val="center"/>
          </w:tcPr>
          <w:p>
            <w:pPr>
              <w:pStyle w:val="18"/>
            </w:pPr>
            <w:r>
              <w:t>符合规定的支出资金占支出总资金的比例</w:t>
            </w:r>
          </w:p>
        </w:tc>
        <w:tc>
          <w:tcPr>
            <w:tcW w:w="2551" w:type="dxa"/>
            <w:noWrap w:val="0"/>
            <w:vAlign w:val="center"/>
          </w:tcPr>
          <w:p>
            <w:pPr>
              <w:pStyle w:val="18"/>
            </w:pPr>
            <w:r>
              <w:t>100%</w:t>
            </w:r>
          </w:p>
        </w:tc>
        <w:tc>
          <w:tcPr>
            <w:tcW w:w="2268" w:type="dxa"/>
            <w:noWrap w:val="0"/>
            <w:vAlign w:val="center"/>
          </w:tcPr>
          <w:p>
            <w:pPr>
              <w:pStyle w:val="18"/>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项目完成时间</w:t>
            </w:r>
          </w:p>
        </w:tc>
        <w:tc>
          <w:tcPr>
            <w:tcW w:w="2835" w:type="dxa"/>
            <w:noWrap w:val="0"/>
            <w:vAlign w:val="center"/>
          </w:tcPr>
          <w:p>
            <w:pPr>
              <w:pStyle w:val="18"/>
            </w:pPr>
            <w:r>
              <w:t>按照工作计划或文件要求及时完成</w:t>
            </w:r>
          </w:p>
        </w:tc>
        <w:tc>
          <w:tcPr>
            <w:tcW w:w="2551" w:type="dxa"/>
            <w:noWrap w:val="0"/>
            <w:vAlign w:val="center"/>
          </w:tcPr>
          <w:p>
            <w:pPr>
              <w:pStyle w:val="18"/>
            </w:pPr>
            <w:r>
              <w:t>12月底前</w:t>
            </w:r>
          </w:p>
        </w:tc>
        <w:tc>
          <w:tcPr>
            <w:tcW w:w="2268" w:type="dxa"/>
            <w:noWrap w:val="0"/>
            <w:vAlign w:val="center"/>
          </w:tcPr>
          <w:p>
            <w:pPr>
              <w:pStyle w:val="18"/>
            </w:pPr>
            <w:r>
              <w:t>（冀自然资字【2020】41号）、(冀政【2012】112号）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总成本偏离率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保障农民土地权益覆盖率</w:t>
            </w:r>
          </w:p>
        </w:tc>
        <w:tc>
          <w:tcPr>
            <w:tcW w:w="2835" w:type="dxa"/>
            <w:noWrap w:val="0"/>
            <w:vAlign w:val="center"/>
          </w:tcPr>
          <w:p>
            <w:pPr>
              <w:pStyle w:val="18"/>
            </w:pPr>
            <w:r>
              <w:t>全面改善农村生产生活条件，统筹城乡发展为目标，以优化用地结构和节约集约用地为重点</w:t>
            </w:r>
          </w:p>
        </w:tc>
        <w:tc>
          <w:tcPr>
            <w:tcW w:w="2551" w:type="dxa"/>
            <w:noWrap w:val="0"/>
            <w:vAlign w:val="center"/>
          </w:tcPr>
          <w:p>
            <w:pPr>
              <w:pStyle w:val="18"/>
            </w:pPr>
            <w:r>
              <w:t>100%</w:t>
            </w:r>
          </w:p>
        </w:tc>
        <w:tc>
          <w:tcPr>
            <w:tcW w:w="2268" w:type="dxa"/>
            <w:noWrap w:val="0"/>
            <w:vAlign w:val="center"/>
          </w:tcPr>
          <w:p>
            <w:pPr>
              <w:pStyle w:val="18"/>
            </w:pPr>
            <w:r>
              <w:t>(冀政【2012】112号）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县级增减挂钩整改规划时效性</w:t>
            </w:r>
          </w:p>
        </w:tc>
        <w:tc>
          <w:tcPr>
            <w:tcW w:w="2835" w:type="dxa"/>
            <w:noWrap w:val="0"/>
            <w:vAlign w:val="center"/>
          </w:tcPr>
          <w:p>
            <w:pPr>
              <w:pStyle w:val="18"/>
            </w:pPr>
            <w:r>
              <w:t>长期有效改善农村生产生活条件，统筹城乡发展，优化用地结构和节约集约用地长期有效</w:t>
            </w:r>
          </w:p>
        </w:tc>
        <w:tc>
          <w:tcPr>
            <w:tcW w:w="2551" w:type="dxa"/>
            <w:noWrap w:val="0"/>
            <w:vAlign w:val="center"/>
          </w:tcPr>
          <w:p>
            <w:pPr>
              <w:pStyle w:val="18"/>
            </w:pPr>
            <w:r>
              <w:t>长期</w:t>
            </w:r>
          </w:p>
        </w:tc>
        <w:tc>
          <w:tcPr>
            <w:tcW w:w="2268" w:type="dxa"/>
            <w:noWrap w:val="0"/>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服务对象满意人数占总人数的比例</w:t>
            </w:r>
          </w:p>
        </w:tc>
        <w:tc>
          <w:tcPr>
            <w:tcW w:w="2551" w:type="dxa"/>
            <w:noWrap w:val="0"/>
            <w:vAlign w:val="center"/>
          </w:tcPr>
          <w:p>
            <w:pPr>
              <w:pStyle w:val="18"/>
            </w:pPr>
            <w:r>
              <w:t>≥95%</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57、修改不动产登记数据库项目绩效目标表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1.通过实施该项目，为统一行使所有国土空间用途管制和生态保护修复提供基础支持和产权保障。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数据库数量</w:t>
            </w:r>
          </w:p>
        </w:tc>
        <w:tc>
          <w:tcPr>
            <w:tcW w:w="2835" w:type="dxa"/>
            <w:noWrap w:val="0"/>
            <w:vAlign w:val="center"/>
          </w:tcPr>
          <w:p>
            <w:pPr>
              <w:pStyle w:val="18"/>
            </w:pPr>
            <w:r>
              <w:t>需修改的数据库数量</w:t>
            </w:r>
          </w:p>
        </w:tc>
        <w:tc>
          <w:tcPr>
            <w:tcW w:w="2551" w:type="dxa"/>
            <w:noWrap w:val="0"/>
            <w:vAlign w:val="center"/>
          </w:tcPr>
          <w:p>
            <w:pPr>
              <w:pStyle w:val="18"/>
            </w:pPr>
            <w:r>
              <w:t>1个</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数据使用率</w:t>
            </w:r>
          </w:p>
        </w:tc>
        <w:tc>
          <w:tcPr>
            <w:tcW w:w="2835" w:type="dxa"/>
            <w:noWrap w:val="0"/>
            <w:vAlign w:val="center"/>
          </w:tcPr>
          <w:p>
            <w:pPr>
              <w:pStyle w:val="18"/>
            </w:pPr>
            <w:r>
              <w:t>数据使用率</w:t>
            </w:r>
          </w:p>
        </w:tc>
        <w:tc>
          <w:tcPr>
            <w:tcW w:w="2551" w:type="dxa"/>
            <w:noWrap w:val="0"/>
            <w:vAlign w:val="center"/>
          </w:tcPr>
          <w:p>
            <w:pPr>
              <w:pStyle w:val="18"/>
            </w:pPr>
            <w:r>
              <w:t>100%</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实施时间</w:t>
            </w:r>
          </w:p>
        </w:tc>
        <w:tc>
          <w:tcPr>
            <w:tcW w:w="2835" w:type="dxa"/>
            <w:noWrap w:val="0"/>
            <w:vAlign w:val="center"/>
          </w:tcPr>
          <w:p>
            <w:pPr>
              <w:pStyle w:val="18"/>
            </w:pPr>
            <w:r>
              <w:t>项目实施时间</w:t>
            </w:r>
          </w:p>
        </w:tc>
        <w:tc>
          <w:tcPr>
            <w:tcW w:w="2551" w:type="dxa"/>
            <w:noWrap w:val="0"/>
            <w:vAlign w:val="center"/>
          </w:tcPr>
          <w:p>
            <w:pPr>
              <w:pStyle w:val="18"/>
            </w:pPr>
            <w:r>
              <w:t>1年</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实施费用</w:t>
            </w:r>
          </w:p>
        </w:tc>
        <w:tc>
          <w:tcPr>
            <w:tcW w:w="2835" w:type="dxa"/>
            <w:noWrap w:val="0"/>
            <w:vAlign w:val="center"/>
          </w:tcPr>
          <w:p>
            <w:pPr>
              <w:pStyle w:val="18"/>
            </w:pPr>
            <w:r>
              <w:t>实施所需费用</w:t>
            </w:r>
          </w:p>
        </w:tc>
        <w:tc>
          <w:tcPr>
            <w:tcW w:w="2551" w:type="dxa"/>
            <w:noWrap w:val="0"/>
            <w:vAlign w:val="center"/>
          </w:tcPr>
          <w:p>
            <w:pPr>
              <w:pStyle w:val="18"/>
            </w:pPr>
            <w:r>
              <w:t>0.01%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数据库正常运转率</w:t>
            </w:r>
          </w:p>
        </w:tc>
        <w:tc>
          <w:tcPr>
            <w:tcW w:w="2835" w:type="dxa"/>
            <w:noWrap w:val="0"/>
            <w:vAlign w:val="center"/>
          </w:tcPr>
          <w:p>
            <w:pPr>
              <w:pStyle w:val="18"/>
            </w:pPr>
            <w:r>
              <w:t>数据库正常运转时间/365</w:t>
            </w:r>
          </w:p>
        </w:tc>
        <w:tc>
          <w:tcPr>
            <w:tcW w:w="2551" w:type="dxa"/>
            <w:noWrap w:val="0"/>
            <w:vAlign w:val="center"/>
          </w:tcPr>
          <w:p>
            <w:pPr>
              <w:pStyle w:val="18"/>
            </w:pPr>
            <w:r>
              <w:t>100百分比</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数据库正常使用时间</w:t>
            </w:r>
          </w:p>
        </w:tc>
        <w:tc>
          <w:tcPr>
            <w:tcW w:w="2835" w:type="dxa"/>
            <w:noWrap w:val="0"/>
            <w:vAlign w:val="center"/>
          </w:tcPr>
          <w:p>
            <w:pPr>
              <w:pStyle w:val="18"/>
            </w:pPr>
            <w:r>
              <w:t>数据库正常使用时间</w:t>
            </w:r>
          </w:p>
        </w:tc>
        <w:tc>
          <w:tcPr>
            <w:tcW w:w="2551" w:type="dxa"/>
            <w:noWrap w:val="0"/>
            <w:vAlign w:val="center"/>
          </w:tcPr>
          <w:p>
            <w:pPr>
              <w:pStyle w:val="18"/>
            </w:pPr>
            <w:r>
              <w:t>1年</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100%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58、永久基本农田补划和永久基本农田储备区划定资金绩效目标表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1.通过项目的开展，永久基本农田整改补划主要以2018年土地变更调查、地理国情监测、耕地质量调查监测与评价等成果为基础，结合第三次国土调查，对永久基本农田划定成果进行全面核实。</w:t>
            </w:r>
          </w:p>
          <w:p>
            <w:pPr>
              <w:pStyle w:val="18"/>
            </w:pPr>
            <w:r>
              <w:t>2.通过项目的开展，永久基本农田储备区划定主要是将尚未划入永久基本农田保护范围但符合划定条件的优质耕地划入储备区。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规划编制完成率</w:t>
            </w:r>
          </w:p>
        </w:tc>
        <w:tc>
          <w:tcPr>
            <w:tcW w:w="2835" w:type="dxa"/>
            <w:noWrap w:val="0"/>
            <w:vAlign w:val="center"/>
          </w:tcPr>
          <w:p>
            <w:pPr>
              <w:pStyle w:val="18"/>
            </w:pPr>
            <w:r>
              <w:t>规划编制完成情况</w:t>
            </w:r>
          </w:p>
        </w:tc>
        <w:tc>
          <w:tcPr>
            <w:tcW w:w="2551" w:type="dxa"/>
            <w:noWrap w:val="0"/>
            <w:vAlign w:val="center"/>
          </w:tcPr>
          <w:p>
            <w:pPr>
              <w:pStyle w:val="18"/>
            </w:pPr>
            <w:r>
              <w:t>100%</w:t>
            </w:r>
          </w:p>
        </w:tc>
        <w:tc>
          <w:tcPr>
            <w:tcW w:w="2268" w:type="dxa"/>
            <w:noWrap w:val="0"/>
            <w:vAlign w:val="center"/>
          </w:tcPr>
          <w:p>
            <w:pPr>
              <w:pStyle w:val="18"/>
            </w:pPr>
            <w:r>
              <w:t>工作计划及任务目标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规划编制合格率</w:t>
            </w:r>
          </w:p>
        </w:tc>
        <w:tc>
          <w:tcPr>
            <w:tcW w:w="2835" w:type="dxa"/>
            <w:noWrap w:val="0"/>
            <w:vAlign w:val="center"/>
          </w:tcPr>
          <w:p>
            <w:pPr>
              <w:pStyle w:val="18"/>
            </w:pPr>
            <w:r>
              <w:t>规划验收合格情况</w:t>
            </w:r>
          </w:p>
        </w:tc>
        <w:tc>
          <w:tcPr>
            <w:tcW w:w="2551" w:type="dxa"/>
            <w:noWrap w:val="0"/>
            <w:vAlign w:val="center"/>
          </w:tcPr>
          <w:p>
            <w:pPr>
              <w:pStyle w:val="18"/>
            </w:pPr>
            <w:r>
              <w:t>100%</w:t>
            </w:r>
          </w:p>
        </w:tc>
        <w:tc>
          <w:tcPr>
            <w:tcW w:w="2268" w:type="dxa"/>
            <w:noWrap w:val="0"/>
            <w:vAlign w:val="center"/>
          </w:tcPr>
          <w:p>
            <w:pPr>
              <w:pStyle w:val="18"/>
            </w:pPr>
            <w:r>
              <w:t>项目验收意见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规划编制及时性</w:t>
            </w:r>
          </w:p>
        </w:tc>
        <w:tc>
          <w:tcPr>
            <w:tcW w:w="2835" w:type="dxa"/>
            <w:noWrap w:val="0"/>
            <w:vAlign w:val="center"/>
          </w:tcPr>
          <w:p>
            <w:pPr>
              <w:pStyle w:val="18"/>
            </w:pPr>
            <w:r>
              <w:t>规划成果完成时间</w:t>
            </w:r>
          </w:p>
        </w:tc>
        <w:tc>
          <w:tcPr>
            <w:tcW w:w="2551" w:type="dxa"/>
            <w:noWrap w:val="0"/>
            <w:vAlign w:val="center"/>
          </w:tcPr>
          <w:p>
            <w:pPr>
              <w:pStyle w:val="18"/>
            </w:pPr>
            <w:r>
              <w:t>12月</w:t>
            </w:r>
          </w:p>
        </w:tc>
        <w:tc>
          <w:tcPr>
            <w:tcW w:w="2268" w:type="dxa"/>
            <w:noWrap w:val="0"/>
            <w:vAlign w:val="center"/>
          </w:tcPr>
          <w:p>
            <w:pPr>
              <w:pStyle w:val="18"/>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总成本偏离率</w:t>
            </w:r>
          </w:p>
        </w:tc>
        <w:tc>
          <w:tcPr>
            <w:tcW w:w="2835" w:type="dxa"/>
            <w:noWrap w:val="0"/>
            <w:vAlign w:val="center"/>
          </w:tcPr>
          <w:p>
            <w:pPr>
              <w:pStyle w:val="18"/>
            </w:pPr>
            <w:r>
              <w:t>项目成本偏离预算资金比率的绝对值</w:t>
            </w:r>
          </w:p>
        </w:tc>
        <w:tc>
          <w:tcPr>
            <w:tcW w:w="2551" w:type="dxa"/>
            <w:noWrap w:val="0"/>
            <w:vAlign w:val="center"/>
          </w:tcPr>
          <w:p>
            <w:pPr>
              <w:pStyle w:val="18"/>
            </w:pPr>
            <w:r>
              <w:t>≤10%</w:t>
            </w:r>
          </w:p>
        </w:tc>
        <w:tc>
          <w:tcPr>
            <w:tcW w:w="2268" w:type="dxa"/>
            <w:noWrap w:val="0"/>
            <w:vAlign w:val="center"/>
          </w:tcPr>
          <w:p>
            <w:pPr>
              <w:pStyle w:val="18"/>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规划农田亩数</w:t>
            </w:r>
          </w:p>
        </w:tc>
        <w:tc>
          <w:tcPr>
            <w:tcW w:w="2835" w:type="dxa"/>
            <w:noWrap w:val="0"/>
            <w:vAlign w:val="center"/>
          </w:tcPr>
          <w:p>
            <w:pPr>
              <w:pStyle w:val="18"/>
            </w:pPr>
            <w:r>
              <w:t>永久基本农田补划与储备区划定面积</w:t>
            </w:r>
          </w:p>
        </w:tc>
        <w:tc>
          <w:tcPr>
            <w:tcW w:w="2551" w:type="dxa"/>
            <w:noWrap w:val="0"/>
            <w:vAlign w:val="center"/>
          </w:tcPr>
          <w:p>
            <w:pPr>
              <w:pStyle w:val="18"/>
            </w:pPr>
            <w:r>
              <w:t>≥2650.33公顷</w:t>
            </w:r>
          </w:p>
        </w:tc>
        <w:tc>
          <w:tcPr>
            <w:tcW w:w="2268" w:type="dxa"/>
            <w:noWrap w:val="0"/>
            <w:vAlign w:val="center"/>
          </w:tcPr>
          <w:p>
            <w:pPr>
              <w:pStyle w:val="18"/>
            </w:pPr>
            <w:r>
              <w:t>项目验收意见及上级文件要求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规划编制影响时限</w:t>
            </w:r>
          </w:p>
        </w:tc>
        <w:tc>
          <w:tcPr>
            <w:tcW w:w="2835" w:type="dxa"/>
            <w:noWrap w:val="0"/>
            <w:vAlign w:val="center"/>
          </w:tcPr>
          <w:p>
            <w:pPr>
              <w:pStyle w:val="18"/>
            </w:pPr>
            <w:r>
              <w:t>永久基本农田规划编制的影响时限</w:t>
            </w:r>
          </w:p>
        </w:tc>
        <w:tc>
          <w:tcPr>
            <w:tcW w:w="2551" w:type="dxa"/>
            <w:noWrap w:val="0"/>
            <w:vAlign w:val="center"/>
          </w:tcPr>
          <w:p>
            <w:pPr>
              <w:pStyle w:val="18"/>
            </w:pPr>
            <w:r>
              <w:t>长期</w:t>
            </w:r>
          </w:p>
        </w:tc>
        <w:tc>
          <w:tcPr>
            <w:tcW w:w="2268" w:type="dxa"/>
            <w:noWrap w:val="0"/>
            <w:vAlign w:val="center"/>
          </w:tcPr>
          <w:p>
            <w:pPr>
              <w:pStyle w:val="18"/>
            </w:pPr>
            <w: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服务对象满意人数占总人数的比例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59、造林验收费绩效目标表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1.聘请专业测量公司组织开展2022年春季造林小班进行验收核查、绘制小班图、出具验收报告。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造林验收覆盖率</w:t>
            </w:r>
          </w:p>
        </w:tc>
        <w:tc>
          <w:tcPr>
            <w:tcW w:w="2835" w:type="dxa"/>
            <w:noWrap w:val="0"/>
            <w:vAlign w:val="center"/>
          </w:tcPr>
          <w:p>
            <w:pPr>
              <w:pStyle w:val="18"/>
            </w:pPr>
            <w:r>
              <w:t>造林验收的实际亩数占总任务数的比例</w:t>
            </w:r>
          </w:p>
        </w:tc>
        <w:tc>
          <w:tcPr>
            <w:tcW w:w="2551" w:type="dxa"/>
            <w:noWrap w:val="0"/>
            <w:vAlign w:val="center"/>
          </w:tcPr>
          <w:p>
            <w:pPr>
              <w:pStyle w:val="18"/>
            </w:pPr>
            <w:r>
              <w:t>100%</w:t>
            </w:r>
          </w:p>
        </w:tc>
        <w:tc>
          <w:tcPr>
            <w:tcW w:w="2268" w:type="dxa"/>
            <w:noWrap w:val="0"/>
            <w:vAlign w:val="center"/>
          </w:tcPr>
          <w:p>
            <w:pPr>
              <w:pStyle w:val="18"/>
            </w:pPr>
            <w:r>
              <w:t>上级下达任务书或工作计划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造林验收合格率</w:t>
            </w:r>
          </w:p>
        </w:tc>
        <w:tc>
          <w:tcPr>
            <w:tcW w:w="2835" w:type="dxa"/>
            <w:noWrap w:val="0"/>
            <w:vAlign w:val="center"/>
          </w:tcPr>
          <w:p>
            <w:pPr>
              <w:pStyle w:val="18"/>
            </w:pPr>
            <w:r>
              <w:t>造林验收的合格亩数占总任务数的比例</w:t>
            </w:r>
          </w:p>
        </w:tc>
        <w:tc>
          <w:tcPr>
            <w:tcW w:w="2551" w:type="dxa"/>
            <w:noWrap w:val="0"/>
            <w:vAlign w:val="center"/>
          </w:tcPr>
          <w:p>
            <w:pPr>
              <w:pStyle w:val="18"/>
            </w:pPr>
            <w:r>
              <w:t>100%</w:t>
            </w:r>
          </w:p>
        </w:tc>
        <w:tc>
          <w:tcPr>
            <w:tcW w:w="2268" w:type="dxa"/>
            <w:noWrap w:val="0"/>
            <w:vAlign w:val="center"/>
          </w:tcPr>
          <w:p>
            <w:pPr>
              <w:pStyle w:val="18"/>
            </w:pPr>
            <w:r>
              <w:t>历年验收合同和实际需求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完成及时性</w:t>
            </w:r>
          </w:p>
        </w:tc>
        <w:tc>
          <w:tcPr>
            <w:tcW w:w="2835" w:type="dxa"/>
            <w:noWrap w:val="0"/>
            <w:vAlign w:val="center"/>
          </w:tcPr>
          <w:p>
            <w:pPr>
              <w:pStyle w:val="18"/>
            </w:pPr>
            <w:r>
              <w:t>按照工作计划及时完成</w:t>
            </w:r>
          </w:p>
        </w:tc>
        <w:tc>
          <w:tcPr>
            <w:tcW w:w="2551" w:type="dxa"/>
            <w:noWrap w:val="0"/>
            <w:vAlign w:val="center"/>
          </w:tcPr>
          <w:p>
            <w:pPr>
              <w:pStyle w:val="18"/>
            </w:pPr>
            <w:r>
              <w:t>及时</w:t>
            </w:r>
          </w:p>
        </w:tc>
        <w:tc>
          <w:tcPr>
            <w:tcW w:w="2268" w:type="dxa"/>
            <w:noWrap w:val="0"/>
            <w:vAlign w:val="center"/>
          </w:tcPr>
          <w:p>
            <w:pPr>
              <w:pStyle w:val="18"/>
            </w:pPr>
            <w:r>
              <w:t>历年验收合同和实际需求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成本超预算比例</w:t>
            </w:r>
          </w:p>
        </w:tc>
        <w:tc>
          <w:tcPr>
            <w:tcW w:w="2835" w:type="dxa"/>
            <w:noWrap w:val="0"/>
            <w:vAlign w:val="center"/>
          </w:tcPr>
          <w:p>
            <w:pPr>
              <w:pStyle w:val="18"/>
            </w:pPr>
            <w:r>
              <w:t>超预算金额占预算资金的比例</w:t>
            </w:r>
          </w:p>
        </w:tc>
        <w:tc>
          <w:tcPr>
            <w:tcW w:w="2551" w:type="dxa"/>
            <w:noWrap w:val="0"/>
            <w:vAlign w:val="center"/>
          </w:tcPr>
          <w:p>
            <w:pPr>
              <w:pStyle w:val="18"/>
            </w:pPr>
            <w:r>
              <w:t>≤10%</w:t>
            </w:r>
          </w:p>
        </w:tc>
        <w:tc>
          <w:tcPr>
            <w:tcW w:w="2268" w:type="dxa"/>
            <w:noWrap w:val="0"/>
            <w:vAlign w:val="center"/>
          </w:tcPr>
          <w:p>
            <w:pPr>
              <w:pStyle w:val="18"/>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树木成活率</w:t>
            </w:r>
          </w:p>
        </w:tc>
        <w:tc>
          <w:tcPr>
            <w:tcW w:w="2835" w:type="dxa"/>
            <w:noWrap w:val="0"/>
            <w:vAlign w:val="center"/>
          </w:tcPr>
          <w:p>
            <w:pPr>
              <w:pStyle w:val="18"/>
            </w:pPr>
            <w:r>
              <w:t>开展2022年春季造林小班进行验收核查、绘制小班图，有效保障树木成活率</w:t>
            </w:r>
          </w:p>
        </w:tc>
        <w:tc>
          <w:tcPr>
            <w:tcW w:w="2551" w:type="dxa"/>
            <w:noWrap w:val="0"/>
            <w:vAlign w:val="center"/>
          </w:tcPr>
          <w:p>
            <w:pPr>
              <w:pStyle w:val="18"/>
            </w:pPr>
            <w:r>
              <w:t>≥90%</w:t>
            </w:r>
          </w:p>
        </w:tc>
        <w:tc>
          <w:tcPr>
            <w:tcW w:w="2268" w:type="dxa"/>
            <w:noWrap w:val="0"/>
            <w:vAlign w:val="center"/>
          </w:tcPr>
          <w:p>
            <w:pPr>
              <w:pStyle w:val="18"/>
            </w:pPr>
            <w:r>
              <w:t>现实调查数据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苗木的成活时间</w:t>
            </w:r>
          </w:p>
        </w:tc>
        <w:tc>
          <w:tcPr>
            <w:tcW w:w="2835" w:type="dxa"/>
            <w:noWrap w:val="0"/>
            <w:vAlign w:val="center"/>
          </w:tcPr>
          <w:p>
            <w:pPr>
              <w:pStyle w:val="18"/>
            </w:pPr>
            <w:r>
              <w:t>苗木的成活时间</w:t>
            </w:r>
          </w:p>
        </w:tc>
        <w:tc>
          <w:tcPr>
            <w:tcW w:w="2551" w:type="dxa"/>
            <w:noWrap w:val="0"/>
            <w:vAlign w:val="center"/>
          </w:tcPr>
          <w:p>
            <w:pPr>
              <w:pStyle w:val="18"/>
            </w:pPr>
            <w:r>
              <w:t>≥10年</w:t>
            </w:r>
          </w:p>
        </w:tc>
        <w:tc>
          <w:tcPr>
            <w:tcW w:w="2268" w:type="dxa"/>
            <w:noWrap w:val="0"/>
            <w:vAlign w:val="center"/>
          </w:tcPr>
          <w:p>
            <w:pPr>
              <w:pStyle w:val="18"/>
            </w:pPr>
            <w:r>
              <w:t>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≥90%</w:t>
            </w:r>
          </w:p>
        </w:tc>
        <w:tc>
          <w:tcPr>
            <w:tcW w:w="2268" w:type="dxa"/>
            <w:noWrap w:val="0"/>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60、宅基地和集体建设用地使用权存量数据整合汇交及登记入库项目绩效目标表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1.通过大厂回族自治县宅基地和集体建设用地使用权存量数据整合汇交及登记入库工作确保宅基地和集体建设用地使用权确权登记工作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涉及乡镇数量</w:t>
            </w:r>
          </w:p>
        </w:tc>
        <w:tc>
          <w:tcPr>
            <w:tcW w:w="2835" w:type="dxa"/>
            <w:noWrap w:val="0"/>
            <w:vAlign w:val="center"/>
          </w:tcPr>
          <w:p>
            <w:pPr>
              <w:pStyle w:val="18"/>
            </w:pPr>
            <w:r>
              <w:t>五个乡镇</w:t>
            </w:r>
          </w:p>
        </w:tc>
        <w:tc>
          <w:tcPr>
            <w:tcW w:w="2551" w:type="dxa"/>
            <w:noWrap w:val="0"/>
            <w:vAlign w:val="center"/>
          </w:tcPr>
          <w:p>
            <w:pPr>
              <w:pStyle w:val="18"/>
            </w:pPr>
            <w:r>
              <w:t>5个</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验收通过率</w:t>
            </w:r>
          </w:p>
        </w:tc>
        <w:tc>
          <w:tcPr>
            <w:tcW w:w="2835" w:type="dxa"/>
            <w:noWrap w:val="0"/>
            <w:vAlign w:val="center"/>
          </w:tcPr>
          <w:p>
            <w:pPr>
              <w:pStyle w:val="18"/>
            </w:pPr>
            <w:r>
              <w:t>保证数据可用</w:t>
            </w:r>
          </w:p>
        </w:tc>
        <w:tc>
          <w:tcPr>
            <w:tcW w:w="2551" w:type="dxa"/>
            <w:noWrap w:val="0"/>
            <w:vAlign w:val="center"/>
          </w:tcPr>
          <w:p>
            <w:pPr>
              <w:pStyle w:val="18"/>
            </w:pPr>
            <w:r>
              <w:t>100%</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项目实施时间</w:t>
            </w:r>
          </w:p>
        </w:tc>
        <w:tc>
          <w:tcPr>
            <w:tcW w:w="2835" w:type="dxa"/>
            <w:noWrap w:val="0"/>
            <w:vAlign w:val="center"/>
          </w:tcPr>
          <w:p>
            <w:pPr>
              <w:pStyle w:val="18"/>
            </w:pPr>
            <w:r>
              <w:t>项目实施时间</w:t>
            </w:r>
          </w:p>
        </w:tc>
        <w:tc>
          <w:tcPr>
            <w:tcW w:w="2551" w:type="dxa"/>
            <w:noWrap w:val="0"/>
            <w:vAlign w:val="center"/>
          </w:tcPr>
          <w:p>
            <w:pPr>
              <w:pStyle w:val="18"/>
            </w:pPr>
            <w:r>
              <w:t>≤1年</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超预算比例</w:t>
            </w:r>
          </w:p>
        </w:tc>
        <w:tc>
          <w:tcPr>
            <w:tcW w:w="2835" w:type="dxa"/>
            <w:noWrap w:val="0"/>
            <w:vAlign w:val="center"/>
          </w:tcPr>
          <w:p>
            <w:pPr>
              <w:pStyle w:val="18"/>
            </w:pPr>
            <w:r>
              <w:t>（实际支付资金-预算资金）/预算资金*100%</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入库项目使用率</w:t>
            </w:r>
          </w:p>
        </w:tc>
        <w:tc>
          <w:tcPr>
            <w:tcW w:w="2835" w:type="dxa"/>
            <w:noWrap w:val="0"/>
            <w:vAlign w:val="center"/>
          </w:tcPr>
          <w:p>
            <w:pPr>
              <w:pStyle w:val="18"/>
            </w:pPr>
            <w:r>
              <w:t>成果使用</w:t>
            </w:r>
          </w:p>
        </w:tc>
        <w:tc>
          <w:tcPr>
            <w:tcW w:w="2551" w:type="dxa"/>
            <w:noWrap w:val="0"/>
            <w:vAlign w:val="center"/>
          </w:tcPr>
          <w:p>
            <w:pPr>
              <w:pStyle w:val="18"/>
            </w:pPr>
            <w:r>
              <w:t>100%</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数据库使用时间</w:t>
            </w:r>
          </w:p>
        </w:tc>
        <w:tc>
          <w:tcPr>
            <w:tcW w:w="2835" w:type="dxa"/>
            <w:noWrap w:val="0"/>
            <w:vAlign w:val="center"/>
          </w:tcPr>
          <w:p>
            <w:pPr>
              <w:pStyle w:val="18"/>
            </w:pPr>
            <w:r>
              <w:t>数据库使用时间</w:t>
            </w:r>
          </w:p>
        </w:tc>
        <w:tc>
          <w:tcPr>
            <w:tcW w:w="2551" w:type="dxa"/>
            <w:noWrap w:val="0"/>
            <w:vAlign w:val="center"/>
          </w:tcPr>
          <w:p>
            <w:pPr>
              <w:pStyle w:val="18"/>
            </w:pPr>
            <w:r>
              <w:t>1年</w:t>
            </w:r>
          </w:p>
        </w:tc>
        <w:tc>
          <w:tcPr>
            <w:tcW w:w="2268" w:type="dxa"/>
            <w:noWrap w:val="0"/>
            <w:vAlign w:val="center"/>
          </w:tcPr>
          <w:p>
            <w:pPr>
              <w:pStyle w:val="18"/>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受益群体满意度</w:t>
            </w:r>
          </w:p>
        </w:tc>
        <w:tc>
          <w:tcPr>
            <w:tcW w:w="2835" w:type="dxa"/>
            <w:noWrap w:val="0"/>
            <w:vAlign w:val="center"/>
          </w:tcPr>
          <w:p>
            <w:pPr>
              <w:pStyle w:val="18"/>
            </w:pPr>
            <w:r>
              <w:t>受益群体调查中，满意和较满意的人数占全部调查人数的比率</w:t>
            </w:r>
          </w:p>
        </w:tc>
        <w:tc>
          <w:tcPr>
            <w:tcW w:w="2551" w:type="dxa"/>
            <w:noWrap w:val="0"/>
            <w:vAlign w:val="center"/>
          </w:tcPr>
          <w:p>
            <w:pPr>
              <w:pStyle w:val="18"/>
            </w:pPr>
            <w:r>
              <w:t>≥90%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61、自然资源和规划管理性服务费绩效目标表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1.将工作中部分辅助性办公服务工作进行外包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确保机构正常运转个数</w:t>
            </w:r>
          </w:p>
        </w:tc>
        <w:tc>
          <w:tcPr>
            <w:tcW w:w="2835" w:type="dxa"/>
            <w:noWrap w:val="0"/>
            <w:vAlign w:val="center"/>
          </w:tcPr>
          <w:p>
            <w:pPr>
              <w:pStyle w:val="18"/>
            </w:pPr>
            <w:r>
              <w:t>确保机构正常运转个数</w:t>
            </w:r>
          </w:p>
        </w:tc>
        <w:tc>
          <w:tcPr>
            <w:tcW w:w="2551" w:type="dxa"/>
            <w:noWrap w:val="0"/>
            <w:vAlign w:val="center"/>
          </w:tcPr>
          <w:p>
            <w:pPr>
              <w:pStyle w:val="18"/>
            </w:pPr>
            <w:r>
              <w:t>1个</w:t>
            </w:r>
          </w:p>
        </w:tc>
        <w:tc>
          <w:tcPr>
            <w:tcW w:w="2268" w:type="dxa"/>
            <w:noWrap w:val="0"/>
            <w:vAlign w:val="center"/>
          </w:tcPr>
          <w:p>
            <w:pPr>
              <w:pStyle w:val="18"/>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支付率</w:t>
            </w:r>
          </w:p>
        </w:tc>
        <w:tc>
          <w:tcPr>
            <w:tcW w:w="2835" w:type="dxa"/>
            <w:noWrap w:val="0"/>
            <w:vAlign w:val="center"/>
          </w:tcPr>
          <w:p>
            <w:pPr>
              <w:pStyle w:val="18"/>
            </w:pPr>
            <w:r>
              <w:t>实际支付/应支付</w:t>
            </w:r>
          </w:p>
        </w:tc>
        <w:tc>
          <w:tcPr>
            <w:tcW w:w="2551" w:type="dxa"/>
            <w:noWrap w:val="0"/>
            <w:vAlign w:val="center"/>
          </w:tcPr>
          <w:p>
            <w:pPr>
              <w:pStyle w:val="18"/>
            </w:pPr>
            <w:r>
              <w:t>100%</w:t>
            </w:r>
          </w:p>
        </w:tc>
        <w:tc>
          <w:tcPr>
            <w:tcW w:w="2268" w:type="dxa"/>
            <w:noWrap w:val="0"/>
            <w:vAlign w:val="center"/>
          </w:tcPr>
          <w:p>
            <w:pPr>
              <w:pStyle w:val="18"/>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一年</w:t>
            </w:r>
          </w:p>
        </w:tc>
        <w:tc>
          <w:tcPr>
            <w:tcW w:w="2835" w:type="dxa"/>
            <w:noWrap w:val="0"/>
            <w:vAlign w:val="center"/>
          </w:tcPr>
          <w:p>
            <w:pPr>
              <w:pStyle w:val="18"/>
            </w:pPr>
            <w:r>
              <w:t>本年度内</w:t>
            </w:r>
          </w:p>
        </w:tc>
        <w:tc>
          <w:tcPr>
            <w:tcW w:w="2551" w:type="dxa"/>
            <w:noWrap w:val="0"/>
            <w:vAlign w:val="center"/>
          </w:tcPr>
          <w:p>
            <w:pPr>
              <w:pStyle w:val="18"/>
            </w:pPr>
            <w:r>
              <w:t>1年</w:t>
            </w:r>
          </w:p>
        </w:tc>
        <w:tc>
          <w:tcPr>
            <w:tcW w:w="2268" w:type="dxa"/>
            <w:noWrap w:val="0"/>
            <w:vAlign w:val="center"/>
          </w:tcPr>
          <w:p>
            <w:pPr>
              <w:pStyle w:val="18"/>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超预算数/预算数</w:t>
            </w:r>
          </w:p>
        </w:tc>
        <w:tc>
          <w:tcPr>
            <w:tcW w:w="2551" w:type="dxa"/>
            <w:noWrap w:val="0"/>
            <w:vAlign w:val="center"/>
          </w:tcPr>
          <w:p>
            <w:pPr>
              <w:pStyle w:val="18"/>
            </w:pPr>
            <w:r>
              <w:t>0.01%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保证不动产机构正常运行率</w:t>
            </w:r>
          </w:p>
        </w:tc>
        <w:tc>
          <w:tcPr>
            <w:tcW w:w="2835" w:type="dxa"/>
            <w:noWrap w:val="0"/>
            <w:vAlign w:val="center"/>
          </w:tcPr>
          <w:p>
            <w:pPr>
              <w:pStyle w:val="18"/>
            </w:pPr>
            <w:r>
              <w:t>正常运转天数/365</w:t>
            </w:r>
          </w:p>
        </w:tc>
        <w:tc>
          <w:tcPr>
            <w:tcW w:w="2551" w:type="dxa"/>
            <w:noWrap w:val="0"/>
            <w:vAlign w:val="center"/>
          </w:tcPr>
          <w:p>
            <w:pPr>
              <w:pStyle w:val="18"/>
            </w:pPr>
            <w:r>
              <w:t>100百分比</w:t>
            </w:r>
          </w:p>
        </w:tc>
        <w:tc>
          <w:tcPr>
            <w:tcW w:w="2268" w:type="dxa"/>
            <w:noWrap w:val="0"/>
            <w:vAlign w:val="center"/>
          </w:tcPr>
          <w:p>
            <w:pPr>
              <w:pStyle w:val="18"/>
            </w:pPr>
            <w:r>
              <w:t>项目编号DGZCG-[2021]68号采购合同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不动产机构正常使用时间</w:t>
            </w:r>
          </w:p>
        </w:tc>
        <w:tc>
          <w:tcPr>
            <w:tcW w:w="2835" w:type="dxa"/>
            <w:noWrap w:val="0"/>
            <w:vAlign w:val="center"/>
          </w:tcPr>
          <w:p>
            <w:pPr>
              <w:pStyle w:val="18"/>
            </w:pPr>
            <w:r>
              <w:t>不动产机构正常使用时间</w:t>
            </w:r>
          </w:p>
        </w:tc>
        <w:tc>
          <w:tcPr>
            <w:tcW w:w="2551" w:type="dxa"/>
            <w:noWrap w:val="0"/>
            <w:vAlign w:val="center"/>
          </w:tcPr>
          <w:p>
            <w:pPr>
              <w:pStyle w:val="18"/>
            </w:pPr>
            <w:r>
              <w:t>1年</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100%</w:t>
            </w:r>
          </w:p>
        </w:tc>
        <w:tc>
          <w:tcPr>
            <w:tcW w:w="2268" w:type="dxa"/>
            <w:noWrap w:val="0"/>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62、自然资源统一确权登记项目绩效目标表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7"/>
            </w:pPr>
            <w:r>
              <w:t>绩效目标</w:t>
            </w:r>
          </w:p>
        </w:tc>
        <w:tc>
          <w:tcPr>
            <w:tcW w:w="12756" w:type="dxa"/>
            <w:tcBorders>
              <w:bottom w:val="single" w:color="FFFFFF" w:sz="6" w:space="0"/>
            </w:tcBorders>
            <w:noWrap w:val="0"/>
            <w:vAlign w:val="center"/>
          </w:tcPr>
          <w:p>
            <w:pPr>
              <w:pStyle w:val="18"/>
            </w:pPr>
            <w:r>
              <w:t>1.通过开展大厂回族自治县自然资源统一确权登记工作为县域内自然资源统一登记发证提供准确数据依据。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7"/>
            </w:pPr>
            <w:r>
              <w:t>一级指标</w:t>
            </w:r>
          </w:p>
        </w:tc>
        <w:tc>
          <w:tcPr>
            <w:tcW w:w="2268" w:type="dxa"/>
            <w:noWrap w:val="0"/>
            <w:vAlign w:val="center"/>
          </w:tcPr>
          <w:p>
            <w:pPr>
              <w:pStyle w:val="17"/>
            </w:pPr>
            <w:r>
              <w:t>二级指标</w:t>
            </w:r>
          </w:p>
        </w:tc>
        <w:tc>
          <w:tcPr>
            <w:tcW w:w="2835" w:type="dxa"/>
            <w:noWrap w:val="0"/>
            <w:vAlign w:val="center"/>
          </w:tcPr>
          <w:p>
            <w:pPr>
              <w:pStyle w:val="17"/>
            </w:pPr>
            <w:r>
              <w:t>三级指标</w:t>
            </w:r>
          </w:p>
        </w:tc>
        <w:tc>
          <w:tcPr>
            <w:tcW w:w="2835" w:type="dxa"/>
            <w:noWrap w:val="0"/>
            <w:vAlign w:val="center"/>
          </w:tcPr>
          <w:p>
            <w:pPr>
              <w:pStyle w:val="17"/>
            </w:pPr>
            <w:r>
              <w:t>绩效指标描述</w:t>
            </w:r>
          </w:p>
        </w:tc>
        <w:tc>
          <w:tcPr>
            <w:tcW w:w="2551" w:type="dxa"/>
            <w:noWrap w:val="0"/>
            <w:vAlign w:val="center"/>
          </w:tcPr>
          <w:p>
            <w:pPr>
              <w:pStyle w:val="17"/>
            </w:pPr>
            <w:r>
              <w:t>指标值</w:t>
            </w:r>
          </w:p>
        </w:tc>
        <w:tc>
          <w:tcPr>
            <w:tcW w:w="2268" w:type="dxa"/>
            <w:noWrap w:val="0"/>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产出指标</w:t>
            </w:r>
          </w:p>
        </w:tc>
        <w:tc>
          <w:tcPr>
            <w:tcW w:w="2268" w:type="dxa"/>
            <w:noWrap w:val="0"/>
            <w:vAlign w:val="center"/>
          </w:tcPr>
          <w:p>
            <w:pPr>
              <w:pStyle w:val="18"/>
            </w:pPr>
            <w:r>
              <w:t>数量指标</w:t>
            </w:r>
          </w:p>
        </w:tc>
        <w:tc>
          <w:tcPr>
            <w:tcW w:w="2835" w:type="dxa"/>
            <w:noWrap w:val="0"/>
            <w:vAlign w:val="center"/>
          </w:tcPr>
          <w:p>
            <w:pPr>
              <w:pStyle w:val="18"/>
            </w:pPr>
            <w:r>
              <w:t>乡镇数量</w:t>
            </w:r>
          </w:p>
        </w:tc>
        <w:tc>
          <w:tcPr>
            <w:tcW w:w="2835" w:type="dxa"/>
            <w:noWrap w:val="0"/>
            <w:vAlign w:val="center"/>
          </w:tcPr>
          <w:p>
            <w:pPr>
              <w:pStyle w:val="18"/>
            </w:pPr>
            <w:r>
              <w:t>五个乡镇所有河流林地等</w:t>
            </w:r>
          </w:p>
        </w:tc>
        <w:tc>
          <w:tcPr>
            <w:tcW w:w="2551" w:type="dxa"/>
            <w:noWrap w:val="0"/>
            <w:vAlign w:val="center"/>
          </w:tcPr>
          <w:p>
            <w:pPr>
              <w:pStyle w:val="18"/>
            </w:pPr>
            <w:r>
              <w:t>5个</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质量指标</w:t>
            </w:r>
          </w:p>
        </w:tc>
        <w:tc>
          <w:tcPr>
            <w:tcW w:w="2835" w:type="dxa"/>
            <w:noWrap w:val="0"/>
            <w:vAlign w:val="center"/>
          </w:tcPr>
          <w:p>
            <w:pPr>
              <w:pStyle w:val="18"/>
            </w:pPr>
            <w:r>
              <w:t>验收通过率</w:t>
            </w:r>
          </w:p>
        </w:tc>
        <w:tc>
          <w:tcPr>
            <w:tcW w:w="2835" w:type="dxa"/>
            <w:noWrap w:val="0"/>
            <w:vAlign w:val="center"/>
          </w:tcPr>
          <w:p>
            <w:pPr>
              <w:pStyle w:val="18"/>
            </w:pPr>
            <w:r>
              <w:t>保证数据可用</w:t>
            </w:r>
          </w:p>
        </w:tc>
        <w:tc>
          <w:tcPr>
            <w:tcW w:w="2551" w:type="dxa"/>
            <w:noWrap w:val="0"/>
            <w:vAlign w:val="center"/>
          </w:tcPr>
          <w:p>
            <w:pPr>
              <w:pStyle w:val="18"/>
            </w:pPr>
            <w:r>
              <w:t>100%</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时效指标</w:t>
            </w:r>
          </w:p>
        </w:tc>
        <w:tc>
          <w:tcPr>
            <w:tcW w:w="2835" w:type="dxa"/>
            <w:noWrap w:val="0"/>
            <w:vAlign w:val="center"/>
          </w:tcPr>
          <w:p>
            <w:pPr>
              <w:pStyle w:val="18"/>
            </w:pPr>
            <w:r>
              <w:t>项目实施时间</w:t>
            </w:r>
          </w:p>
        </w:tc>
        <w:tc>
          <w:tcPr>
            <w:tcW w:w="2835" w:type="dxa"/>
            <w:noWrap w:val="0"/>
            <w:vAlign w:val="center"/>
          </w:tcPr>
          <w:p>
            <w:pPr>
              <w:pStyle w:val="18"/>
            </w:pPr>
            <w:r>
              <w:t>项目实施时间</w:t>
            </w:r>
          </w:p>
        </w:tc>
        <w:tc>
          <w:tcPr>
            <w:tcW w:w="2551" w:type="dxa"/>
            <w:noWrap w:val="0"/>
            <w:vAlign w:val="center"/>
          </w:tcPr>
          <w:p>
            <w:pPr>
              <w:pStyle w:val="18"/>
            </w:pPr>
            <w:r>
              <w:t>≤1年</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成本指标</w:t>
            </w:r>
          </w:p>
        </w:tc>
        <w:tc>
          <w:tcPr>
            <w:tcW w:w="2835" w:type="dxa"/>
            <w:noWrap w:val="0"/>
            <w:vAlign w:val="center"/>
          </w:tcPr>
          <w:p>
            <w:pPr>
              <w:pStyle w:val="18"/>
            </w:pPr>
            <w:r>
              <w:t>成本偏离率</w:t>
            </w:r>
          </w:p>
        </w:tc>
        <w:tc>
          <w:tcPr>
            <w:tcW w:w="2835" w:type="dxa"/>
            <w:noWrap w:val="0"/>
            <w:vAlign w:val="center"/>
          </w:tcPr>
          <w:p>
            <w:pPr>
              <w:pStyle w:val="18"/>
            </w:pPr>
            <w:r>
              <w:t>平台维护所需费用</w:t>
            </w:r>
          </w:p>
        </w:tc>
        <w:tc>
          <w:tcPr>
            <w:tcW w:w="2551" w:type="dxa"/>
            <w:noWrap w:val="0"/>
            <w:vAlign w:val="center"/>
          </w:tcPr>
          <w:p>
            <w:pPr>
              <w:pStyle w:val="18"/>
            </w:pPr>
            <w:r>
              <w:t>0.1%</w:t>
            </w:r>
          </w:p>
        </w:tc>
        <w:tc>
          <w:tcPr>
            <w:tcW w:w="2268" w:type="dxa"/>
            <w:noWrap w:val="0"/>
            <w:vAlign w:val="center"/>
          </w:tcPr>
          <w:p>
            <w:pPr>
              <w:pStyle w:val="18"/>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9"/>
            </w:pPr>
            <w:r>
              <w:t>效益指标</w:t>
            </w:r>
          </w:p>
        </w:tc>
        <w:tc>
          <w:tcPr>
            <w:tcW w:w="2268" w:type="dxa"/>
            <w:noWrap w:val="0"/>
            <w:vAlign w:val="center"/>
          </w:tcPr>
          <w:p>
            <w:pPr>
              <w:pStyle w:val="18"/>
            </w:pPr>
            <w:r>
              <w:t>社会效益指标</w:t>
            </w:r>
          </w:p>
        </w:tc>
        <w:tc>
          <w:tcPr>
            <w:tcW w:w="2835" w:type="dxa"/>
            <w:noWrap w:val="0"/>
            <w:vAlign w:val="center"/>
          </w:tcPr>
          <w:p>
            <w:pPr>
              <w:pStyle w:val="18"/>
            </w:pPr>
            <w:r>
              <w:t>成果使用率</w:t>
            </w:r>
          </w:p>
        </w:tc>
        <w:tc>
          <w:tcPr>
            <w:tcW w:w="2835" w:type="dxa"/>
            <w:noWrap w:val="0"/>
            <w:vAlign w:val="center"/>
          </w:tcPr>
          <w:p>
            <w:pPr>
              <w:pStyle w:val="18"/>
            </w:pPr>
            <w:r>
              <w:t>保证不会因为资金问题影响成果使用</w:t>
            </w:r>
          </w:p>
        </w:tc>
        <w:tc>
          <w:tcPr>
            <w:tcW w:w="2551" w:type="dxa"/>
            <w:noWrap w:val="0"/>
            <w:vAlign w:val="center"/>
          </w:tcPr>
          <w:p>
            <w:pPr>
              <w:pStyle w:val="18"/>
            </w:pPr>
            <w:r>
              <w:t>100%</w:t>
            </w:r>
          </w:p>
        </w:tc>
        <w:tc>
          <w:tcPr>
            <w:tcW w:w="2268" w:type="dxa"/>
            <w:noWrap w:val="0"/>
            <w:vAlign w:val="center"/>
          </w:tcPr>
          <w:p>
            <w:pPr>
              <w:pStyle w:val="18"/>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8"/>
            </w:pPr>
            <w:r>
              <w:t>可持续影响指标</w:t>
            </w:r>
          </w:p>
        </w:tc>
        <w:tc>
          <w:tcPr>
            <w:tcW w:w="2835" w:type="dxa"/>
            <w:noWrap w:val="0"/>
            <w:vAlign w:val="center"/>
          </w:tcPr>
          <w:p>
            <w:pPr>
              <w:pStyle w:val="18"/>
            </w:pPr>
            <w:r>
              <w:t>确权使用时间</w:t>
            </w:r>
          </w:p>
        </w:tc>
        <w:tc>
          <w:tcPr>
            <w:tcW w:w="2835" w:type="dxa"/>
            <w:noWrap w:val="0"/>
            <w:vAlign w:val="center"/>
          </w:tcPr>
          <w:p>
            <w:pPr>
              <w:pStyle w:val="18"/>
            </w:pPr>
            <w:r>
              <w:t>确权使用时间</w:t>
            </w:r>
          </w:p>
        </w:tc>
        <w:tc>
          <w:tcPr>
            <w:tcW w:w="2551" w:type="dxa"/>
            <w:noWrap w:val="0"/>
            <w:vAlign w:val="center"/>
          </w:tcPr>
          <w:p>
            <w:pPr>
              <w:pStyle w:val="18"/>
            </w:pPr>
            <w:r>
              <w:t>长期</w:t>
            </w:r>
          </w:p>
        </w:tc>
        <w:tc>
          <w:tcPr>
            <w:tcW w:w="2268" w:type="dxa"/>
            <w:noWrap w:val="0"/>
            <w:vAlign w:val="center"/>
          </w:tcPr>
          <w:p>
            <w:pPr>
              <w:pStyle w:val="18"/>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9"/>
            </w:pPr>
            <w:r>
              <w:t>满意度指标</w:t>
            </w:r>
          </w:p>
        </w:tc>
        <w:tc>
          <w:tcPr>
            <w:tcW w:w="2268" w:type="dxa"/>
            <w:noWrap w:val="0"/>
            <w:vAlign w:val="center"/>
          </w:tcPr>
          <w:p>
            <w:pPr>
              <w:pStyle w:val="18"/>
            </w:pPr>
            <w:r>
              <w:t>服务对象满意度指标</w:t>
            </w:r>
          </w:p>
        </w:tc>
        <w:tc>
          <w:tcPr>
            <w:tcW w:w="2835" w:type="dxa"/>
            <w:noWrap w:val="0"/>
            <w:vAlign w:val="center"/>
          </w:tcPr>
          <w:p>
            <w:pPr>
              <w:pStyle w:val="18"/>
            </w:pPr>
            <w:r>
              <w:t>服务对象满意度</w:t>
            </w:r>
          </w:p>
        </w:tc>
        <w:tc>
          <w:tcPr>
            <w:tcW w:w="2835" w:type="dxa"/>
            <w:noWrap w:val="0"/>
            <w:vAlign w:val="center"/>
          </w:tcPr>
          <w:p>
            <w:pPr>
              <w:pStyle w:val="18"/>
            </w:pPr>
            <w:r>
              <w:t>满意人数占总人数的比例</w:t>
            </w:r>
          </w:p>
        </w:tc>
        <w:tc>
          <w:tcPr>
            <w:tcW w:w="2551" w:type="dxa"/>
            <w:noWrap w:val="0"/>
            <w:vAlign w:val="center"/>
          </w:tcPr>
          <w:p>
            <w:pPr>
              <w:pStyle w:val="18"/>
            </w:pPr>
            <w:r>
              <w:t>100%</w:t>
            </w:r>
          </w:p>
        </w:tc>
        <w:tc>
          <w:tcPr>
            <w:tcW w:w="2268" w:type="dxa"/>
            <w:noWrap w:val="0"/>
            <w:vAlign w:val="center"/>
          </w:tcPr>
          <w:p>
            <w:pPr>
              <w:pStyle w:val="18"/>
            </w:pPr>
            <w: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561.05</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val="en-US" w:eastAsia="zh-CN"/>
              </w:rPr>
              <w:t>324</w:t>
            </w:r>
            <w:r>
              <w:rPr>
                <w:rFonts w:hint="eastAsia" w:ascii="方正小标宋_GBK" w:eastAsia="方正小标宋_GBK" w:cs="Times New Roman"/>
                <w:sz w:val="24"/>
              </w:rPr>
              <w:t>大厂回族自治县</w:t>
            </w:r>
            <w:r>
              <w:rPr>
                <w:rFonts w:hint="eastAsia" w:ascii="方正小标宋_GBK" w:eastAsia="方正小标宋_GBK"/>
                <w:sz w:val="24"/>
                <w:lang w:eastAsia="zh-CN"/>
              </w:rPr>
              <w:t>自然资源和规划局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20"/>
              <w:ind w:firstLine="0" w:firstLineChars="0"/>
              <w:rPr>
                <w:rFonts w:ascii="方正书宋_GBK" w:eastAsia="方正书宋_GBK" w:cs="Times New Roman"/>
                <w:b/>
              </w:rPr>
            </w:pPr>
            <w:r>
              <w:t>合  计</w:t>
            </w:r>
          </w:p>
        </w:tc>
        <w:tc>
          <w:tcPr>
            <w:tcW w:w="1134" w:type="dxa"/>
            <w:shd w:val="clear" w:color="auto" w:fill="auto"/>
            <w:vAlign w:val="center"/>
          </w:tcPr>
          <w:p>
            <w:pPr>
              <w:pStyle w:val="21"/>
              <w:ind w:firstLine="0" w:firstLineChars="0"/>
              <w:rPr>
                <w:rFonts w:ascii="方正书宋_GBK" w:eastAsia="方正书宋_GBK" w:cs="Times New Roman"/>
                <w:b/>
              </w:rPr>
            </w:pPr>
          </w:p>
        </w:tc>
        <w:tc>
          <w:tcPr>
            <w:tcW w:w="1531" w:type="dxa"/>
            <w:shd w:val="clear" w:color="auto" w:fill="auto"/>
            <w:vAlign w:val="center"/>
          </w:tcPr>
          <w:p>
            <w:pPr>
              <w:pStyle w:val="22"/>
              <w:ind w:firstLine="0" w:firstLineChars="0"/>
              <w:rPr>
                <w:rFonts w:ascii="方正书宋_GBK" w:eastAsia="方正书宋_GBK" w:cs="Times New Roman"/>
                <w:b/>
              </w:rPr>
            </w:pPr>
          </w:p>
        </w:tc>
        <w:tc>
          <w:tcPr>
            <w:tcW w:w="1531" w:type="dxa"/>
            <w:shd w:val="clear" w:color="auto" w:fill="auto"/>
            <w:vAlign w:val="center"/>
          </w:tcPr>
          <w:p>
            <w:pPr>
              <w:pStyle w:val="22"/>
              <w:ind w:firstLine="0" w:firstLineChars="0"/>
              <w:rPr>
                <w:rFonts w:ascii="方正书宋_GBK" w:eastAsia="方正书宋_GBK" w:cs="Times New Roman"/>
                <w:b/>
              </w:rPr>
            </w:pPr>
          </w:p>
        </w:tc>
        <w:tc>
          <w:tcPr>
            <w:tcW w:w="709" w:type="dxa"/>
            <w:shd w:val="clear" w:color="auto" w:fill="auto"/>
            <w:vAlign w:val="center"/>
          </w:tcPr>
          <w:p>
            <w:pPr>
              <w:pStyle w:val="20"/>
              <w:ind w:firstLine="0" w:firstLineChars="0"/>
              <w:rPr>
                <w:rFonts w:ascii="方正书宋_GBK" w:eastAsia="方正书宋_GBK" w:cs="Times New Roman"/>
                <w:b/>
              </w:rPr>
            </w:pPr>
          </w:p>
        </w:tc>
        <w:tc>
          <w:tcPr>
            <w:tcW w:w="907" w:type="dxa"/>
            <w:shd w:val="clear" w:color="auto" w:fill="auto"/>
            <w:vAlign w:val="center"/>
          </w:tcPr>
          <w:p>
            <w:pPr>
              <w:pStyle w:val="21"/>
              <w:ind w:firstLine="0" w:firstLineChars="0"/>
              <w:rPr>
                <w:rFonts w:ascii="方正书宋_GBK" w:eastAsia="方正书宋_GBK" w:cs="Times New Roman"/>
                <w:b/>
              </w:rPr>
            </w:pPr>
          </w:p>
        </w:tc>
        <w:tc>
          <w:tcPr>
            <w:tcW w:w="907" w:type="dxa"/>
            <w:shd w:val="clear" w:color="auto" w:fill="auto"/>
            <w:vAlign w:val="center"/>
          </w:tcPr>
          <w:p>
            <w:pPr>
              <w:pStyle w:val="21"/>
              <w:ind w:firstLine="0" w:firstLineChars="0"/>
              <w:rPr>
                <w:rFonts w:ascii="方正书宋_GBK" w:eastAsia="方正书宋_GBK" w:cs="Times New Roman"/>
                <w:b/>
              </w:rPr>
            </w:pPr>
          </w:p>
        </w:tc>
        <w:tc>
          <w:tcPr>
            <w:tcW w:w="1134" w:type="dxa"/>
            <w:shd w:val="clear" w:color="auto" w:fill="auto"/>
            <w:vAlign w:val="center"/>
          </w:tcPr>
          <w:p>
            <w:pPr>
              <w:pStyle w:val="21"/>
              <w:ind w:firstLine="0" w:firstLineChars="0"/>
              <w:rPr>
                <w:rFonts w:ascii="方正书宋_GBK" w:eastAsia="方正书宋_GBK" w:cs="Times New Roman"/>
                <w:b/>
              </w:rPr>
            </w:pPr>
            <w:r>
              <w:t>561</w:t>
            </w:r>
            <w:r>
              <w:rPr>
                <w:rFonts w:hint="eastAsia"/>
                <w:lang w:val="en-US" w:eastAsia="zh-CN"/>
              </w:rPr>
              <w:t>.</w:t>
            </w:r>
            <w:r>
              <w:t>05</w:t>
            </w:r>
          </w:p>
        </w:tc>
        <w:tc>
          <w:tcPr>
            <w:tcW w:w="1134" w:type="dxa"/>
            <w:shd w:val="clear" w:color="auto" w:fill="auto"/>
            <w:vAlign w:val="center"/>
          </w:tcPr>
          <w:p>
            <w:pPr>
              <w:pStyle w:val="21"/>
              <w:ind w:firstLine="0" w:firstLineChars="0"/>
              <w:rPr>
                <w:rFonts w:ascii="方正书宋_GBK" w:eastAsia="方正书宋_GBK" w:cs="Times New Roman"/>
                <w:b/>
              </w:rPr>
            </w:pPr>
            <w:r>
              <w:t>561</w:t>
            </w:r>
            <w:r>
              <w:rPr>
                <w:rFonts w:hint="eastAsia"/>
                <w:lang w:val="en-US" w:eastAsia="zh-CN"/>
              </w:rPr>
              <w:t>.</w:t>
            </w:r>
            <w:r>
              <w:t>05</w:t>
            </w:r>
          </w:p>
        </w:tc>
        <w:tc>
          <w:tcPr>
            <w:tcW w:w="1134" w:type="dxa"/>
            <w:shd w:val="clear" w:color="auto" w:fill="auto"/>
            <w:vAlign w:val="center"/>
          </w:tcPr>
          <w:p>
            <w:pPr>
              <w:pStyle w:val="21"/>
              <w:ind w:firstLine="0" w:firstLineChars="0"/>
              <w:rPr>
                <w:rFonts w:ascii="方正书宋_GBK" w:eastAsia="方正书宋_GBK" w:cs="Times New Roman"/>
                <w:b/>
              </w:rPr>
            </w:pPr>
          </w:p>
        </w:tc>
        <w:tc>
          <w:tcPr>
            <w:tcW w:w="1134" w:type="dxa"/>
            <w:shd w:val="clear" w:color="auto" w:fill="auto"/>
            <w:vAlign w:val="center"/>
          </w:tcPr>
          <w:p>
            <w:pPr>
              <w:pStyle w:val="21"/>
              <w:ind w:firstLine="0" w:firstLineChars="0"/>
              <w:rPr>
                <w:rFonts w:ascii="方正书宋_GBK" w:eastAsia="方正书宋_GBK" w:cs="Times New Roman"/>
                <w:b/>
              </w:rPr>
            </w:pPr>
          </w:p>
        </w:tc>
        <w:tc>
          <w:tcPr>
            <w:tcW w:w="1134" w:type="dxa"/>
            <w:shd w:val="clear" w:color="auto" w:fill="auto"/>
            <w:vAlign w:val="center"/>
          </w:tcPr>
          <w:p>
            <w:pPr>
              <w:pStyle w:val="21"/>
              <w:ind w:firstLine="0" w:firstLineChars="0"/>
              <w:rPr>
                <w:rFonts w:ascii="方正书宋_GBK" w:eastAsia="方正书宋_GBK" w:cs="Times New Roman"/>
                <w:b/>
              </w:rPr>
            </w:pPr>
          </w:p>
        </w:tc>
        <w:tc>
          <w:tcPr>
            <w:tcW w:w="1134" w:type="dxa"/>
            <w:shd w:val="clear" w:color="auto" w:fill="auto"/>
            <w:vAlign w:val="center"/>
          </w:tcPr>
          <w:p>
            <w:pPr>
              <w:pStyle w:val="21"/>
              <w:ind w:firstLine="0" w:firstLineChars="0"/>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20"/>
              <w:ind w:firstLine="0" w:firstLineChars="0"/>
              <w:rPr>
                <w:rFonts w:ascii="方正书宋_GBK" w:eastAsia="方正书宋_GBK" w:cs="Times New Roman"/>
                <w:b/>
              </w:rPr>
            </w:pPr>
            <w:r>
              <w:t>大厂回族自治县自然资源和规划局小计</w:t>
            </w:r>
          </w:p>
        </w:tc>
        <w:tc>
          <w:tcPr>
            <w:tcW w:w="1134" w:type="dxa"/>
            <w:shd w:val="clear" w:color="auto" w:fill="auto"/>
            <w:vAlign w:val="center"/>
          </w:tcPr>
          <w:p>
            <w:pPr>
              <w:pStyle w:val="21"/>
              <w:ind w:firstLine="0" w:firstLineChars="0"/>
              <w:rPr>
                <w:rFonts w:ascii="方正书宋_GBK" w:eastAsia="方正书宋_GBK" w:cs="Times New Roman"/>
                <w:b/>
              </w:rPr>
            </w:pPr>
          </w:p>
        </w:tc>
        <w:tc>
          <w:tcPr>
            <w:tcW w:w="1531" w:type="dxa"/>
            <w:shd w:val="clear" w:color="auto" w:fill="auto"/>
            <w:vAlign w:val="center"/>
          </w:tcPr>
          <w:p>
            <w:pPr>
              <w:pStyle w:val="22"/>
              <w:ind w:firstLine="0" w:firstLineChars="0"/>
              <w:rPr>
                <w:rFonts w:ascii="方正书宋_GBK" w:eastAsia="方正书宋_GBK" w:cs="Times New Roman"/>
                <w:b/>
              </w:rPr>
            </w:pPr>
          </w:p>
        </w:tc>
        <w:tc>
          <w:tcPr>
            <w:tcW w:w="1531" w:type="dxa"/>
            <w:shd w:val="clear" w:color="auto" w:fill="auto"/>
            <w:vAlign w:val="center"/>
          </w:tcPr>
          <w:p>
            <w:pPr>
              <w:pStyle w:val="22"/>
              <w:ind w:firstLine="0" w:firstLineChars="0"/>
              <w:rPr>
                <w:rFonts w:ascii="方正书宋_GBK" w:eastAsia="方正书宋_GBK" w:cs="Times New Roman"/>
                <w:b/>
              </w:rPr>
            </w:pPr>
          </w:p>
        </w:tc>
        <w:tc>
          <w:tcPr>
            <w:tcW w:w="709" w:type="dxa"/>
            <w:shd w:val="clear" w:color="auto" w:fill="auto"/>
            <w:vAlign w:val="center"/>
          </w:tcPr>
          <w:p>
            <w:pPr>
              <w:pStyle w:val="20"/>
              <w:ind w:firstLine="0" w:firstLineChars="0"/>
              <w:rPr>
                <w:rFonts w:ascii="方正书宋_GBK" w:eastAsia="方正书宋_GBK" w:cs="Times New Roman"/>
                <w:b/>
              </w:rPr>
            </w:pPr>
          </w:p>
        </w:tc>
        <w:tc>
          <w:tcPr>
            <w:tcW w:w="907" w:type="dxa"/>
            <w:shd w:val="clear" w:color="auto" w:fill="auto"/>
            <w:vAlign w:val="center"/>
          </w:tcPr>
          <w:p>
            <w:pPr>
              <w:pStyle w:val="21"/>
              <w:ind w:firstLine="0" w:firstLineChars="0"/>
              <w:rPr>
                <w:rFonts w:ascii="方正书宋_GBK" w:eastAsia="方正书宋_GBK" w:cs="Times New Roman"/>
                <w:b/>
              </w:rPr>
            </w:pPr>
          </w:p>
        </w:tc>
        <w:tc>
          <w:tcPr>
            <w:tcW w:w="907" w:type="dxa"/>
            <w:shd w:val="clear" w:color="auto" w:fill="auto"/>
            <w:vAlign w:val="center"/>
          </w:tcPr>
          <w:p>
            <w:pPr>
              <w:pStyle w:val="21"/>
              <w:ind w:firstLine="0" w:firstLineChars="0"/>
              <w:rPr>
                <w:rFonts w:ascii="方正书宋_GBK" w:eastAsia="方正书宋_GBK" w:cs="Times New Roman"/>
                <w:b/>
              </w:rPr>
            </w:pPr>
          </w:p>
        </w:tc>
        <w:tc>
          <w:tcPr>
            <w:tcW w:w="1134" w:type="dxa"/>
            <w:shd w:val="clear" w:color="auto" w:fill="auto"/>
            <w:vAlign w:val="center"/>
          </w:tcPr>
          <w:p>
            <w:pPr>
              <w:pStyle w:val="21"/>
              <w:ind w:firstLine="0" w:firstLineChars="0"/>
              <w:rPr>
                <w:rFonts w:ascii="方正书宋_GBK" w:eastAsia="方正书宋_GBK" w:cs="Times New Roman"/>
                <w:b/>
              </w:rPr>
            </w:pPr>
            <w:r>
              <w:t>561</w:t>
            </w:r>
            <w:r>
              <w:rPr>
                <w:rFonts w:hint="eastAsia"/>
                <w:lang w:val="en-US" w:eastAsia="zh-CN"/>
              </w:rPr>
              <w:t>.</w:t>
            </w:r>
            <w:r>
              <w:t>05</w:t>
            </w:r>
          </w:p>
        </w:tc>
        <w:tc>
          <w:tcPr>
            <w:tcW w:w="1134" w:type="dxa"/>
            <w:shd w:val="clear" w:color="auto" w:fill="auto"/>
            <w:vAlign w:val="center"/>
          </w:tcPr>
          <w:p>
            <w:pPr>
              <w:pStyle w:val="21"/>
              <w:ind w:firstLine="0" w:firstLineChars="0"/>
              <w:rPr>
                <w:rFonts w:ascii="方正书宋_GBK" w:eastAsia="方正书宋_GBK" w:cs="Times New Roman"/>
                <w:b/>
              </w:rPr>
            </w:pPr>
            <w:r>
              <w:t>561</w:t>
            </w:r>
            <w:r>
              <w:rPr>
                <w:rFonts w:hint="eastAsia"/>
                <w:lang w:val="en-US" w:eastAsia="zh-CN"/>
              </w:rPr>
              <w:t>.</w:t>
            </w:r>
            <w:r>
              <w:t>05</w:t>
            </w:r>
          </w:p>
        </w:tc>
        <w:tc>
          <w:tcPr>
            <w:tcW w:w="1134" w:type="dxa"/>
            <w:shd w:val="clear" w:color="auto" w:fill="auto"/>
            <w:vAlign w:val="center"/>
          </w:tcPr>
          <w:p>
            <w:pPr>
              <w:pStyle w:val="21"/>
              <w:ind w:firstLine="0" w:firstLineChars="0"/>
              <w:rPr>
                <w:rFonts w:ascii="方正书宋_GBK" w:eastAsia="方正书宋_GBK" w:cs="Times New Roman"/>
                <w:b/>
              </w:rPr>
            </w:pPr>
          </w:p>
        </w:tc>
        <w:tc>
          <w:tcPr>
            <w:tcW w:w="1134" w:type="dxa"/>
            <w:shd w:val="clear" w:color="auto" w:fill="auto"/>
            <w:vAlign w:val="center"/>
          </w:tcPr>
          <w:p>
            <w:pPr>
              <w:pStyle w:val="21"/>
              <w:ind w:firstLine="0" w:firstLineChars="0"/>
              <w:rPr>
                <w:rFonts w:ascii="方正书宋_GBK" w:eastAsia="方正书宋_GBK" w:cs="Times New Roman"/>
                <w:b/>
              </w:rPr>
            </w:pPr>
          </w:p>
        </w:tc>
        <w:tc>
          <w:tcPr>
            <w:tcW w:w="1134" w:type="dxa"/>
            <w:shd w:val="clear" w:color="auto" w:fill="auto"/>
            <w:vAlign w:val="center"/>
          </w:tcPr>
          <w:p>
            <w:pPr>
              <w:pStyle w:val="21"/>
              <w:ind w:firstLine="0" w:firstLineChars="0"/>
              <w:rPr>
                <w:rFonts w:ascii="方正书宋_GBK" w:eastAsia="方正书宋_GBK" w:cs="Times New Roman"/>
                <w:b/>
              </w:rPr>
            </w:pPr>
          </w:p>
        </w:tc>
        <w:tc>
          <w:tcPr>
            <w:tcW w:w="1134" w:type="dxa"/>
            <w:shd w:val="clear" w:color="auto" w:fill="auto"/>
            <w:vAlign w:val="center"/>
          </w:tcPr>
          <w:p>
            <w:pPr>
              <w:pStyle w:val="21"/>
              <w:ind w:firstLine="0" w:firstLineChars="0"/>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eastAsia="方正书宋_GBK" w:cs="Times New Roman"/>
              </w:rPr>
            </w:pPr>
            <w:r>
              <w:t>2项重点地区城市设计资金</w:t>
            </w:r>
          </w:p>
        </w:tc>
        <w:tc>
          <w:tcPr>
            <w:tcW w:w="1134" w:type="dxa"/>
            <w:shd w:val="clear" w:color="auto" w:fill="auto"/>
            <w:vAlign w:val="center"/>
          </w:tcPr>
          <w:p>
            <w:pPr>
              <w:pStyle w:val="23"/>
              <w:ind w:firstLine="0" w:firstLineChars="0"/>
              <w:rPr>
                <w:rFonts w:ascii="方正书宋_GBK" w:eastAsia="方正书宋_GBK" w:cs="Times New Roman"/>
              </w:rPr>
            </w:pPr>
            <w:r>
              <w:t>20</w:t>
            </w:r>
          </w:p>
        </w:tc>
        <w:tc>
          <w:tcPr>
            <w:tcW w:w="1531" w:type="dxa"/>
            <w:shd w:val="clear" w:color="auto" w:fill="auto"/>
            <w:vAlign w:val="center"/>
          </w:tcPr>
          <w:p>
            <w:pPr>
              <w:pStyle w:val="18"/>
              <w:ind w:firstLine="0" w:firstLineChars="0"/>
              <w:rPr>
                <w:rFonts w:ascii="方正书宋_GBK" w:eastAsia="方正书宋_GBK" w:cs="Times New Roman"/>
              </w:rPr>
            </w:pPr>
            <w:r>
              <w:t>城市规划和设计服务</w:t>
            </w:r>
          </w:p>
        </w:tc>
        <w:tc>
          <w:tcPr>
            <w:tcW w:w="1531" w:type="dxa"/>
            <w:shd w:val="clear" w:color="auto" w:fill="auto"/>
            <w:vAlign w:val="center"/>
          </w:tcPr>
          <w:p>
            <w:pPr>
              <w:pStyle w:val="18"/>
              <w:ind w:firstLine="0" w:firstLineChars="0"/>
              <w:rPr>
                <w:rFonts w:ascii="方正书宋_GBK" w:eastAsia="方正书宋_GBK" w:cs="Times New Roman"/>
              </w:rPr>
            </w:pPr>
            <w:r>
              <w:t>C1301</w:t>
            </w:r>
          </w:p>
        </w:tc>
        <w:tc>
          <w:tcPr>
            <w:tcW w:w="709" w:type="dxa"/>
            <w:shd w:val="clear" w:color="auto" w:fill="auto"/>
            <w:vAlign w:val="center"/>
          </w:tcPr>
          <w:p>
            <w:pPr>
              <w:pStyle w:val="19"/>
              <w:ind w:firstLine="0" w:firstLineChars="0"/>
              <w:rPr>
                <w:rFonts w:ascii="方正书宋_GBK" w:eastAsia="方正书宋_GBK" w:cs="Times New Roman"/>
              </w:rPr>
            </w:pPr>
            <w:r>
              <w:t>个</w:t>
            </w:r>
          </w:p>
        </w:tc>
        <w:tc>
          <w:tcPr>
            <w:tcW w:w="907" w:type="dxa"/>
            <w:shd w:val="clear" w:color="auto" w:fill="auto"/>
            <w:vAlign w:val="center"/>
          </w:tcPr>
          <w:p>
            <w:pPr>
              <w:pStyle w:val="23"/>
              <w:ind w:firstLine="0" w:firstLineChars="0"/>
              <w:rPr>
                <w:rFonts w:ascii="方正书宋_GBK" w:eastAsia="方正书宋_GBK" w:cs="Times New Roman"/>
              </w:rPr>
            </w:pPr>
            <w:r>
              <w:t>2</w:t>
            </w:r>
          </w:p>
        </w:tc>
        <w:tc>
          <w:tcPr>
            <w:tcW w:w="907" w:type="dxa"/>
            <w:shd w:val="clear" w:color="auto" w:fill="auto"/>
            <w:vAlign w:val="center"/>
          </w:tcPr>
          <w:p>
            <w:pPr>
              <w:pStyle w:val="23"/>
              <w:ind w:firstLine="0" w:firstLineChars="0"/>
              <w:rPr>
                <w:rFonts w:ascii="方正书宋_GBK" w:eastAsia="方正书宋_GBK" w:cs="Times New Roman"/>
              </w:rPr>
            </w:pPr>
            <w:r>
              <w:t>10</w:t>
            </w:r>
          </w:p>
        </w:tc>
        <w:tc>
          <w:tcPr>
            <w:tcW w:w="1134" w:type="dxa"/>
            <w:shd w:val="clear" w:color="auto" w:fill="auto"/>
            <w:vAlign w:val="center"/>
          </w:tcPr>
          <w:p>
            <w:pPr>
              <w:pStyle w:val="23"/>
              <w:ind w:firstLine="0" w:firstLineChars="0"/>
              <w:rPr>
                <w:rFonts w:ascii="方正书宋_GBK" w:eastAsia="方正书宋_GBK" w:cs="Times New Roman"/>
              </w:rPr>
            </w:pPr>
            <w:r>
              <w:t>20</w:t>
            </w:r>
          </w:p>
        </w:tc>
        <w:tc>
          <w:tcPr>
            <w:tcW w:w="1134" w:type="dxa"/>
            <w:shd w:val="clear" w:color="auto" w:fill="auto"/>
            <w:vAlign w:val="center"/>
          </w:tcPr>
          <w:p>
            <w:pPr>
              <w:pStyle w:val="23"/>
              <w:ind w:firstLine="0" w:firstLineChars="0"/>
              <w:rPr>
                <w:rFonts w:ascii="方正书宋_GBK" w:eastAsia="方正书宋_GBK" w:cs="Times New Roman"/>
              </w:rPr>
            </w:pPr>
            <w:r>
              <w:t>20</w:t>
            </w:r>
          </w:p>
        </w:tc>
        <w:tc>
          <w:tcPr>
            <w:tcW w:w="1134" w:type="dxa"/>
            <w:shd w:val="clear" w:color="auto" w:fill="auto"/>
            <w:vAlign w:val="center"/>
          </w:tcPr>
          <w:p>
            <w:pPr>
              <w:pStyle w:val="23"/>
              <w:ind w:firstLine="0" w:firstLineChars="0"/>
              <w:rPr>
                <w:rFonts w:ascii="方正书宋_GBK" w:eastAsia="方正书宋_GBK" w:cs="Times New Roman"/>
              </w:rPr>
            </w:pPr>
          </w:p>
        </w:tc>
        <w:tc>
          <w:tcPr>
            <w:tcW w:w="1134" w:type="dxa"/>
            <w:shd w:val="clear" w:color="auto" w:fill="auto"/>
            <w:vAlign w:val="center"/>
          </w:tcPr>
          <w:p>
            <w:pPr>
              <w:pStyle w:val="23"/>
              <w:ind w:firstLine="0" w:firstLineChars="0"/>
              <w:rPr>
                <w:rFonts w:ascii="方正书宋_GBK" w:eastAsia="方正书宋_GBK" w:cs="Times New Roman"/>
              </w:rPr>
            </w:pPr>
          </w:p>
        </w:tc>
        <w:tc>
          <w:tcPr>
            <w:tcW w:w="1134" w:type="dxa"/>
            <w:shd w:val="clear" w:color="auto" w:fill="auto"/>
            <w:vAlign w:val="center"/>
          </w:tcPr>
          <w:p>
            <w:pPr>
              <w:pStyle w:val="23"/>
              <w:ind w:firstLine="0" w:firstLineChars="0"/>
              <w:rPr>
                <w:rFonts w:ascii="方正书宋_GBK" w:eastAsia="方正书宋_GBK" w:cs="Times New Roman"/>
              </w:rPr>
            </w:pPr>
          </w:p>
        </w:tc>
        <w:tc>
          <w:tcPr>
            <w:tcW w:w="1134" w:type="dxa"/>
            <w:shd w:val="clear" w:color="auto" w:fill="auto"/>
            <w:vAlign w:val="center"/>
          </w:tcPr>
          <w:p>
            <w:pPr>
              <w:pStyle w:val="23"/>
              <w:ind w:firstLine="0" w:firstLineChars="0"/>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创建森林城市资金</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200</w:t>
            </w:r>
          </w:p>
        </w:tc>
        <w:tc>
          <w:tcPr>
            <w:tcW w:w="1531"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专业技术产品展览服务</w:t>
            </w:r>
          </w:p>
        </w:tc>
        <w:tc>
          <w:tcPr>
            <w:tcW w:w="1531"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C060202</w:t>
            </w:r>
          </w:p>
        </w:tc>
        <w:tc>
          <w:tcPr>
            <w:tcW w:w="709" w:type="dxa"/>
            <w:shd w:val="clear" w:color="auto" w:fill="auto"/>
            <w:vAlign w:val="center"/>
          </w:tcPr>
          <w:p>
            <w:pPr>
              <w:pStyle w:val="19"/>
              <w:ind w:firstLine="0" w:firstLineChars="0"/>
              <w:rPr>
                <w:rFonts w:ascii="方正书宋_GBK" w:hAnsi="方正书宋_GBK" w:eastAsia="方正书宋_GBK" w:cs="方正书宋_GBK"/>
                <w:kern w:val="2"/>
                <w:sz w:val="21"/>
                <w:szCs w:val="22"/>
                <w:lang w:val="en-US" w:eastAsia="zh-CN" w:bidi="ar-SA"/>
              </w:rPr>
            </w:pPr>
            <w:r>
              <w:t>项</w:t>
            </w:r>
          </w:p>
        </w:tc>
        <w:tc>
          <w:tcPr>
            <w:tcW w:w="907"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1</w:t>
            </w:r>
          </w:p>
        </w:tc>
        <w:tc>
          <w:tcPr>
            <w:tcW w:w="907"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60</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60</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60</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创建森林城市资金</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200</w:t>
            </w:r>
          </w:p>
        </w:tc>
        <w:tc>
          <w:tcPr>
            <w:tcW w:w="1531"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专业技术产品展览服务</w:t>
            </w:r>
          </w:p>
        </w:tc>
        <w:tc>
          <w:tcPr>
            <w:tcW w:w="1531"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C060202</w:t>
            </w:r>
          </w:p>
        </w:tc>
        <w:tc>
          <w:tcPr>
            <w:tcW w:w="709" w:type="dxa"/>
            <w:shd w:val="clear" w:color="auto" w:fill="auto"/>
            <w:vAlign w:val="center"/>
          </w:tcPr>
          <w:p>
            <w:pPr>
              <w:pStyle w:val="19"/>
              <w:ind w:firstLine="0" w:firstLineChars="0"/>
              <w:rPr>
                <w:rFonts w:ascii="方正书宋_GBK" w:hAnsi="方正书宋_GBK" w:eastAsia="方正书宋_GBK" w:cs="方正书宋_GBK"/>
                <w:kern w:val="2"/>
                <w:sz w:val="21"/>
                <w:szCs w:val="22"/>
                <w:lang w:val="en-US" w:eastAsia="zh-CN" w:bidi="ar-SA"/>
              </w:rPr>
            </w:pPr>
            <w:r>
              <w:t>项</w:t>
            </w:r>
          </w:p>
        </w:tc>
        <w:tc>
          <w:tcPr>
            <w:tcW w:w="907"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1</w:t>
            </w:r>
          </w:p>
        </w:tc>
        <w:tc>
          <w:tcPr>
            <w:tcW w:w="907"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50</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50</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50</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创建森林城市资金</w:t>
            </w:r>
          </w:p>
        </w:tc>
        <w:tc>
          <w:tcPr>
            <w:tcW w:w="1134" w:type="dxa"/>
            <w:shd w:val="clear" w:color="auto" w:fill="auto"/>
            <w:vAlign w:val="center"/>
          </w:tcPr>
          <w:p>
            <w:pPr>
              <w:ind w:firstLine="0" w:firstLineChars="0"/>
              <w:rPr>
                <w:rFonts w:ascii="方正书宋_GBK" w:hAnsi="方正书宋_GBK" w:eastAsia="方正书宋_GBK" w:cs="方正书宋_GBK"/>
                <w:kern w:val="2"/>
                <w:sz w:val="21"/>
                <w:szCs w:val="22"/>
                <w:lang w:val="en-US" w:eastAsia="zh-CN" w:bidi="ar-SA"/>
              </w:rPr>
            </w:pPr>
            <w:r>
              <w:t>200</w:t>
            </w:r>
          </w:p>
        </w:tc>
        <w:tc>
          <w:tcPr>
            <w:tcW w:w="1531"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专业技术产品展览服务</w:t>
            </w:r>
          </w:p>
        </w:tc>
        <w:tc>
          <w:tcPr>
            <w:tcW w:w="1531"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C060202</w:t>
            </w:r>
          </w:p>
        </w:tc>
        <w:tc>
          <w:tcPr>
            <w:tcW w:w="709" w:type="dxa"/>
            <w:shd w:val="clear" w:color="auto" w:fill="auto"/>
            <w:vAlign w:val="center"/>
          </w:tcPr>
          <w:p>
            <w:pPr>
              <w:pStyle w:val="19"/>
              <w:ind w:firstLine="0" w:firstLineChars="0"/>
              <w:rPr>
                <w:rFonts w:ascii="方正书宋_GBK" w:hAnsi="方正书宋_GBK" w:eastAsia="方正书宋_GBK" w:cs="方正书宋_GBK"/>
                <w:kern w:val="2"/>
                <w:sz w:val="21"/>
                <w:szCs w:val="22"/>
                <w:lang w:val="en-US" w:eastAsia="zh-CN" w:bidi="ar-SA"/>
              </w:rPr>
            </w:pPr>
            <w:r>
              <w:t>项</w:t>
            </w:r>
          </w:p>
        </w:tc>
        <w:tc>
          <w:tcPr>
            <w:tcW w:w="907"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1</w:t>
            </w:r>
          </w:p>
        </w:tc>
        <w:tc>
          <w:tcPr>
            <w:tcW w:w="907"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50</w:t>
            </w:r>
          </w:p>
        </w:tc>
        <w:tc>
          <w:tcPr>
            <w:tcW w:w="1134" w:type="dxa"/>
            <w:shd w:val="clear" w:color="auto" w:fill="auto"/>
            <w:vAlign w:val="center"/>
          </w:tcPr>
          <w:p>
            <w:pPr>
              <w:ind w:firstLine="630" w:firstLineChars="300"/>
              <w:rPr>
                <w:rFonts w:ascii="方正书宋_GBK" w:hAnsi="方正书宋_GBK" w:eastAsia="方正书宋_GBK" w:cs="方正书宋_GBK"/>
                <w:kern w:val="2"/>
                <w:sz w:val="21"/>
                <w:szCs w:val="22"/>
                <w:lang w:val="en-US" w:eastAsia="zh-CN" w:bidi="ar-SA"/>
              </w:rPr>
            </w:pPr>
            <w:r>
              <w:t>50</w:t>
            </w:r>
          </w:p>
        </w:tc>
        <w:tc>
          <w:tcPr>
            <w:tcW w:w="1134" w:type="dxa"/>
            <w:shd w:val="clear" w:color="auto" w:fill="auto"/>
            <w:vAlign w:val="center"/>
          </w:tcPr>
          <w:p>
            <w:pPr>
              <w:ind w:firstLine="630" w:firstLineChars="300"/>
              <w:rPr>
                <w:rFonts w:ascii="方正书宋_GBK" w:hAnsi="方正书宋_GBK" w:eastAsia="方正书宋_GBK" w:cs="方正书宋_GBK"/>
                <w:kern w:val="2"/>
                <w:sz w:val="21"/>
                <w:szCs w:val="22"/>
                <w:lang w:val="en-US" w:eastAsia="zh-CN" w:bidi="ar-SA"/>
              </w:rPr>
            </w:pPr>
            <w:r>
              <w:t>50</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创建森林城市资金</w:t>
            </w:r>
          </w:p>
        </w:tc>
        <w:tc>
          <w:tcPr>
            <w:tcW w:w="1134" w:type="dxa"/>
            <w:shd w:val="clear" w:color="auto" w:fill="auto"/>
            <w:vAlign w:val="center"/>
          </w:tcPr>
          <w:p>
            <w:pPr>
              <w:ind w:firstLine="0" w:firstLineChars="0"/>
              <w:rPr>
                <w:rFonts w:ascii="方正书宋_GBK" w:hAnsi="方正书宋_GBK" w:eastAsia="方正书宋_GBK" w:cs="方正书宋_GBK"/>
                <w:kern w:val="2"/>
                <w:sz w:val="21"/>
                <w:szCs w:val="22"/>
                <w:lang w:val="en-US" w:eastAsia="zh-CN" w:bidi="ar-SA"/>
              </w:rPr>
            </w:pPr>
            <w:r>
              <w:t>200</w:t>
            </w:r>
          </w:p>
        </w:tc>
        <w:tc>
          <w:tcPr>
            <w:tcW w:w="1531"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其他印刷服务</w:t>
            </w:r>
          </w:p>
        </w:tc>
        <w:tc>
          <w:tcPr>
            <w:tcW w:w="1531" w:type="dxa"/>
            <w:shd w:val="clear" w:color="auto" w:fill="auto"/>
            <w:vAlign w:val="center"/>
          </w:tcPr>
          <w:p>
            <w:pPr>
              <w:pStyle w:val="18"/>
              <w:ind w:firstLine="0" w:firstLineChars="0"/>
              <w:rPr>
                <w:rFonts w:ascii="方正书宋_GBK" w:hAnsi="方正书宋_GBK" w:eastAsia="方正书宋_GBK" w:cs="方正书宋_GBK"/>
                <w:kern w:val="2"/>
                <w:sz w:val="21"/>
                <w:szCs w:val="22"/>
                <w:lang w:val="en-US" w:eastAsia="zh-CN" w:bidi="ar-SA"/>
              </w:rPr>
            </w:pPr>
            <w:r>
              <w:t>C08140199</w:t>
            </w:r>
          </w:p>
        </w:tc>
        <w:tc>
          <w:tcPr>
            <w:tcW w:w="709" w:type="dxa"/>
            <w:shd w:val="clear" w:color="auto" w:fill="auto"/>
            <w:vAlign w:val="center"/>
          </w:tcPr>
          <w:p>
            <w:pPr>
              <w:pStyle w:val="19"/>
            </w:pPr>
            <w:r>
              <w:t>项</w:t>
            </w:r>
          </w:p>
          <w:p>
            <w:pPr>
              <w:pStyle w:val="19"/>
              <w:ind w:firstLine="0" w:firstLineChars="0"/>
              <w:rPr>
                <w:rFonts w:ascii="方正书宋_GBK" w:hAnsi="方正书宋_GBK" w:eastAsia="方正书宋_GBK" w:cs="方正书宋_GBK"/>
                <w:kern w:val="2"/>
                <w:sz w:val="21"/>
                <w:szCs w:val="22"/>
                <w:lang w:val="en-US" w:eastAsia="zh-CN" w:bidi="ar-SA"/>
              </w:rPr>
            </w:pPr>
          </w:p>
        </w:tc>
        <w:tc>
          <w:tcPr>
            <w:tcW w:w="907"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1</w:t>
            </w:r>
          </w:p>
        </w:tc>
        <w:tc>
          <w:tcPr>
            <w:tcW w:w="907"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r>
              <w:t>40</w:t>
            </w:r>
          </w:p>
        </w:tc>
        <w:tc>
          <w:tcPr>
            <w:tcW w:w="1134" w:type="dxa"/>
            <w:shd w:val="clear" w:color="auto" w:fill="auto"/>
            <w:vAlign w:val="center"/>
          </w:tcPr>
          <w:p>
            <w:pPr>
              <w:ind w:firstLine="630" w:firstLineChars="300"/>
              <w:rPr>
                <w:rFonts w:ascii="方正书宋_GBK" w:hAnsi="方正书宋_GBK" w:eastAsia="方正书宋_GBK" w:cs="方正书宋_GBK"/>
                <w:kern w:val="2"/>
                <w:sz w:val="21"/>
                <w:szCs w:val="22"/>
                <w:lang w:val="en-US" w:eastAsia="zh-CN" w:bidi="ar-SA"/>
              </w:rPr>
            </w:pPr>
            <w:r>
              <w:t>40</w:t>
            </w:r>
          </w:p>
        </w:tc>
        <w:tc>
          <w:tcPr>
            <w:tcW w:w="1134" w:type="dxa"/>
            <w:shd w:val="clear" w:color="auto" w:fill="auto"/>
            <w:vAlign w:val="center"/>
          </w:tcPr>
          <w:p>
            <w:pPr>
              <w:ind w:firstLine="630" w:firstLineChars="300"/>
              <w:rPr>
                <w:rFonts w:ascii="方正书宋_GBK" w:hAnsi="方正书宋_GBK" w:eastAsia="方正书宋_GBK" w:cs="方正书宋_GBK"/>
                <w:kern w:val="2"/>
                <w:sz w:val="21"/>
                <w:szCs w:val="22"/>
                <w:lang w:val="en-US" w:eastAsia="zh-CN" w:bidi="ar-SA"/>
              </w:rPr>
            </w:pPr>
            <w:r>
              <w:t>40</w:t>
            </w: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c>
          <w:tcPr>
            <w:tcW w:w="1134" w:type="dxa"/>
            <w:shd w:val="clear" w:color="auto" w:fill="auto"/>
            <w:vAlign w:val="center"/>
          </w:tcPr>
          <w:p>
            <w:pPr>
              <w:pStyle w:val="23"/>
              <w:ind w:firstLine="0" w:firstLineChars="0"/>
              <w:rPr>
                <w:rFonts w:ascii="方正书宋_GBK" w:hAnsi="方正书宋_GBK" w:eastAsia="方正书宋_GBK" w:cs="方正书宋_GBK"/>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eastAsia="方正书宋_GBK" w:cs="Times New Roman"/>
              </w:rPr>
            </w:pPr>
            <w:r>
              <w:t>大厂回族自治县祁各庄镇和邵府镇产能提升项目</w:t>
            </w:r>
          </w:p>
        </w:tc>
        <w:tc>
          <w:tcPr>
            <w:tcW w:w="1134" w:type="dxa"/>
            <w:shd w:val="clear" w:color="auto" w:fill="auto"/>
            <w:vAlign w:val="center"/>
          </w:tcPr>
          <w:p>
            <w:pPr>
              <w:pStyle w:val="23"/>
              <w:ind w:firstLine="0" w:firstLineChars="0"/>
              <w:jc w:val="both"/>
              <w:rPr>
                <w:rFonts w:ascii="方正书宋_GBK" w:eastAsia="方正书宋_GBK" w:cs="Times New Roman"/>
              </w:rPr>
            </w:pPr>
            <w:r>
              <w:t>50</w:t>
            </w:r>
          </w:p>
        </w:tc>
        <w:tc>
          <w:tcPr>
            <w:tcW w:w="1531" w:type="dxa"/>
            <w:shd w:val="clear" w:color="auto" w:fill="auto"/>
            <w:vAlign w:val="center"/>
          </w:tcPr>
          <w:p>
            <w:pPr>
              <w:pStyle w:val="18"/>
              <w:ind w:firstLine="0" w:firstLineChars="0"/>
              <w:rPr>
                <w:rFonts w:ascii="方正书宋_GBK" w:eastAsia="方正书宋_GBK" w:cs="Times New Roman"/>
              </w:rPr>
            </w:pPr>
            <w:r>
              <w:t>工地平整和清理</w:t>
            </w:r>
          </w:p>
        </w:tc>
        <w:tc>
          <w:tcPr>
            <w:tcW w:w="1531" w:type="dxa"/>
            <w:shd w:val="clear" w:color="auto" w:fill="auto"/>
            <w:vAlign w:val="center"/>
          </w:tcPr>
          <w:p>
            <w:pPr>
              <w:pStyle w:val="18"/>
              <w:ind w:firstLine="0" w:firstLineChars="0"/>
              <w:rPr>
                <w:rFonts w:ascii="方正书宋_GBK" w:eastAsia="方正书宋_GBK" w:cs="Times New Roman"/>
              </w:rPr>
            </w:pPr>
            <w:r>
              <w:t>B0301</w:t>
            </w:r>
          </w:p>
        </w:tc>
        <w:tc>
          <w:tcPr>
            <w:tcW w:w="709" w:type="dxa"/>
            <w:shd w:val="clear" w:color="auto" w:fill="auto"/>
            <w:vAlign w:val="center"/>
          </w:tcPr>
          <w:p>
            <w:pPr>
              <w:pStyle w:val="19"/>
              <w:ind w:firstLine="0" w:firstLineChars="0"/>
              <w:rPr>
                <w:rFonts w:ascii="方正书宋_GBK" w:eastAsia="方正书宋_GBK" w:cs="Times New Roman"/>
              </w:rPr>
            </w:pPr>
            <w:r>
              <w:t>个</w:t>
            </w:r>
          </w:p>
        </w:tc>
        <w:tc>
          <w:tcPr>
            <w:tcW w:w="907" w:type="dxa"/>
            <w:shd w:val="clear" w:color="auto" w:fill="auto"/>
            <w:vAlign w:val="center"/>
          </w:tcPr>
          <w:p>
            <w:pPr>
              <w:pStyle w:val="23"/>
              <w:ind w:firstLine="0" w:firstLineChars="0"/>
              <w:rPr>
                <w:rFonts w:ascii="方正书宋_GBK" w:eastAsia="方正书宋_GBK" w:cs="Times New Roman"/>
              </w:rPr>
            </w:pPr>
            <w:r>
              <w:t>1</w:t>
            </w:r>
          </w:p>
        </w:tc>
        <w:tc>
          <w:tcPr>
            <w:tcW w:w="907" w:type="dxa"/>
            <w:shd w:val="clear" w:color="auto" w:fill="auto"/>
            <w:vAlign w:val="center"/>
          </w:tcPr>
          <w:p>
            <w:pPr>
              <w:pStyle w:val="23"/>
              <w:ind w:firstLine="0" w:firstLineChars="0"/>
              <w:rPr>
                <w:rFonts w:ascii="方正书宋_GBK" w:eastAsia="方正书宋_GBK" w:cs="Times New Roman"/>
              </w:rPr>
            </w:pPr>
            <w:r>
              <w:t>50</w:t>
            </w:r>
          </w:p>
        </w:tc>
        <w:tc>
          <w:tcPr>
            <w:tcW w:w="1134" w:type="dxa"/>
            <w:shd w:val="clear" w:color="auto" w:fill="auto"/>
            <w:vAlign w:val="center"/>
          </w:tcPr>
          <w:p>
            <w:pPr>
              <w:pStyle w:val="23"/>
              <w:ind w:firstLine="0" w:firstLineChars="0"/>
              <w:rPr>
                <w:rFonts w:ascii="方正书宋_GBK" w:eastAsia="方正书宋_GBK" w:cs="Times New Roman"/>
              </w:rPr>
            </w:pPr>
            <w:r>
              <w:t>50</w:t>
            </w:r>
          </w:p>
        </w:tc>
        <w:tc>
          <w:tcPr>
            <w:tcW w:w="1134" w:type="dxa"/>
            <w:shd w:val="clear" w:color="auto" w:fill="auto"/>
            <w:vAlign w:val="center"/>
          </w:tcPr>
          <w:p>
            <w:pPr>
              <w:pStyle w:val="23"/>
              <w:ind w:firstLine="0" w:firstLineChars="0"/>
              <w:rPr>
                <w:rFonts w:ascii="方正书宋_GBK" w:eastAsia="方正书宋_GBK" w:cs="Times New Roman"/>
              </w:rPr>
            </w:pPr>
            <w:r>
              <w:t>50</w:t>
            </w:r>
          </w:p>
        </w:tc>
        <w:tc>
          <w:tcPr>
            <w:tcW w:w="1134" w:type="dxa"/>
            <w:shd w:val="clear" w:color="auto" w:fill="auto"/>
            <w:vAlign w:val="center"/>
          </w:tcPr>
          <w:p>
            <w:pPr>
              <w:pStyle w:val="23"/>
              <w:ind w:firstLine="0" w:firstLineChars="0"/>
              <w:rPr>
                <w:rFonts w:ascii="方正书宋_GBK" w:eastAsia="方正书宋_GBK" w:cs="Times New Roman"/>
              </w:rPr>
            </w:pPr>
          </w:p>
        </w:tc>
        <w:tc>
          <w:tcPr>
            <w:tcW w:w="1134" w:type="dxa"/>
            <w:shd w:val="clear" w:color="auto" w:fill="auto"/>
            <w:vAlign w:val="center"/>
          </w:tcPr>
          <w:p>
            <w:pPr>
              <w:pStyle w:val="23"/>
              <w:ind w:firstLine="0" w:firstLineChars="0"/>
              <w:rPr>
                <w:rFonts w:ascii="方正书宋_GBK" w:eastAsia="方正书宋_GBK" w:cs="Times New Roman"/>
              </w:rPr>
            </w:pPr>
          </w:p>
        </w:tc>
        <w:tc>
          <w:tcPr>
            <w:tcW w:w="1134" w:type="dxa"/>
            <w:shd w:val="clear" w:color="auto" w:fill="auto"/>
            <w:vAlign w:val="center"/>
          </w:tcPr>
          <w:p>
            <w:pPr>
              <w:pStyle w:val="23"/>
              <w:ind w:firstLine="0" w:firstLineChars="0"/>
              <w:rPr>
                <w:rFonts w:ascii="方正书宋_GBK" w:eastAsia="方正书宋_GBK" w:cs="Times New Roman"/>
              </w:rPr>
            </w:pPr>
          </w:p>
        </w:tc>
        <w:tc>
          <w:tcPr>
            <w:tcW w:w="1134" w:type="dxa"/>
            <w:shd w:val="clear" w:color="auto" w:fill="auto"/>
            <w:vAlign w:val="center"/>
          </w:tcPr>
          <w:p>
            <w:pPr>
              <w:pStyle w:val="23"/>
              <w:ind w:firstLine="0" w:firstLineChars="0"/>
              <w:rPr>
                <w:rFonts w:ascii="方正书宋_GBK" w:eastAsia="方正书宋_GBK" w:cs="Times New Roman"/>
              </w:rPr>
            </w:pPr>
          </w:p>
        </w:tc>
      </w:tr>
    </w:tbl>
    <w:p>
      <w:pPr>
        <w:pStyle w:val="2"/>
        <w:rPr>
          <w:rFonts w:hint="eastAsia" w:ascii="Times New Roman" w:hAnsi="Times New Roman" w:eastAsia="仿宋_GB2312" w:cs="Times New Roman"/>
        </w:rPr>
      </w:pPr>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sz w:val="24"/>
                <w:lang w:val="en-US" w:eastAsia="zh-CN"/>
              </w:rPr>
              <w:t>324</w:t>
            </w:r>
            <w:r>
              <w:rPr>
                <w:rFonts w:hint="eastAsia" w:ascii="方正小标宋_GBK" w:eastAsia="方正小标宋_GBK" w:cs="Times New Roman"/>
                <w:sz w:val="24"/>
              </w:rPr>
              <w:t>大厂回族自治县</w:t>
            </w:r>
            <w:r>
              <w:rPr>
                <w:rFonts w:hint="eastAsia" w:ascii="方正小标宋_GBK" w:eastAsia="方正小标宋_GBK"/>
                <w:sz w:val="24"/>
                <w:lang w:eastAsia="zh-CN"/>
              </w:rPr>
              <w:t>自然资源和规划局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eastAsia="方正书宋_GBK" w:cs="Times New Roman"/>
                <w:b/>
              </w:rPr>
            </w:pPr>
            <w:r>
              <w:t>大厂回族自治县县城控制性详细规划（原大厂回族自治县城镇开发边界控制性详细规划及县城城市设计）</w:t>
            </w:r>
          </w:p>
        </w:tc>
        <w:tc>
          <w:tcPr>
            <w:tcW w:w="1134" w:type="dxa"/>
            <w:shd w:val="clear" w:color="auto" w:fill="auto"/>
            <w:vAlign w:val="center"/>
          </w:tcPr>
          <w:p>
            <w:pPr>
              <w:pStyle w:val="23"/>
              <w:ind w:firstLine="0" w:firstLineChars="0"/>
              <w:rPr>
                <w:rFonts w:ascii="方正书宋_GBK" w:eastAsia="方正书宋_GBK" w:cs="Times New Roman"/>
                <w:b/>
              </w:rPr>
            </w:pPr>
            <w:r>
              <w:t>20</w:t>
            </w:r>
          </w:p>
        </w:tc>
        <w:tc>
          <w:tcPr>
            <w:tcW w:w="1531" w:type="dxa"/>
            <w:shd w:val="clear" w:color="auto" w:fill="auto"/>
            <w:vAlign w:val="center"/>
          </w:tcPr>
          <w:p>
            <w:pPr>
              <w:pStyle w:val="18"/>
              <w:ind w:firstLine="0" w:firstLineChars="0"/>
              <w:rPr>
                <w:rFonts w:ascii="方正书宋_GBK" w:eastAsia="方正书宋_GBK" w:cs="Times New Roman"/>
                <w:b/>
              </w:rPr>
            </w:pPr>
            <w:r>
              <w:t>城市规划和设计服务</w:t>
            </w:r>
          </w:p>
        </w:tc>
        <w:tc>
          <w:tcPr>
            <w:tcW w:w="1531" w:type="dxa"/>
            <w:shd w:val="clear" w:color="auto" w:fill="auto"/>
            <w:vAlign w:val="center"/>
          </w:tcPr>
          <w:p>
            <w:pPr>
              <w:pStyle w:val="18"/>
              <w:ind w:firstLine="0" w:firstLineChars="0"/>
              <w:rPr>
                <w:rFonts w:ascii="方正书宋_GBK" w:eastAsia="方正书宋_GBK" w:cs="Times New Roman"/>
                <w:b/>
              </w:rPr>
            </w:pPr>
            <w:r>
              <w:t>C1301</w:t>
            </w:r>
          </w:p>
        </w:tc>
        <w:tc>
          <w:tcPr>
            <w:tcW w:w="709" w:type="dxa"/>
            <w:shd w:val="clear" w:color="auto" w:fill="auto"/>
            <w:vAlign w:val="center"/>
          </w:tcPr>
          <w:p>
            <w:pPr>
              <w:pStyle w:val="19"/>
              <w:ind w:firstLine="0" w:firstLineChars="0"/>
              <w:rPr>
                <w:rFonts w:ascii="方正书宋_GBK" w:eastAsia="方正书宋_GBK" w:cs="Times New Roman"/>
                <w:b/>
              </w:rPr>
            </w:pPr>
            <w:r>
              <w:t>项</w:t>
            </w:r>
          </w:p>
        </w:tc>
        <w:tc>
          <w:tcPr>
            <w:tcW w:w="907" w:type="dxa"/>
            <w:shd w:val="clear" w:color="auto" w:fill="auto"/>
            <w:vAlign w:val="center"/>
          </w:tcPr>
          <w:p>
            <w:pPr>
              <w:pStyle w:val="23"/>
              <w:ind w:firstLine="0" w:firstLineChars="0"/>
              <w:rPr>
                <w:rFonts w:ascii="方正书宋_GBK" w:eastAsia="方正书宋_GBK" w:cs="Times New Roman"/>
                <w:b/>
              </w:rPr>
            </w:pPr>
            <w:r>
              <w:t>1</w:t>
            </w:r>
          </w:p>
        </w:tc>
        <w:tc>
          <w:tcPr>
            <w:tcW w:w="907" w:type="dxa"/>
            <w:shd w:val="clear" w:color="auto" w:fill="auto"/>
            <w:vAlign w:val="center"/>
          </w:tcPr>
          <w:p>
            <w:pPr>
              <w:pStyle w:val="23"/>
              <w:ind w:firstLine="0" w:firstLineChars="0"/>
              <w:rPr>
                <w:rFonts w:ascii="方正书宋_GBK" w:eastAsia="方正书宋_GBK" w:cs="Times New Roman"/>
                <w:b/>
              </w:rPr>
            </w:pPr>
            <w:r>
              <w:t>20</w:t>
            </w:r>
          </w:p>
        </w:tc>
        <w:tc>
          <w:tcPr>
            <w:tcW w:w="1134" w:type="dxa"/>
            <w:shd w:val="clear" w:color="auto" w:fill="auto"/>
            <w:vAlign w:val="center"/>
          </w:tcPr>
          <w:p>
            <w:pPr>
              <w:pStyle w:val="23"/>
              <w:ind w:firstLine="0" w:firstLineChars="0"/>
              <w:rPr>
                <w:rFonts w:ascii="方正书宋_GBK" w:eastAsia="方正书宋_GBK" w:cs="Times New Roman"/>
                <w:b/>
              </w:rPr>
            </w:pPr>
            <w:r>
              <w:t>20</w:t>
            </w:r>
          </w:p>
        </w:tc>
        <w:tc>
          <w:tcPr>
            <w:tcW w:w="1134" w:type="dxa"/>
            <w:shd w:val="clear" w:color="auto" w:fill="auto"/>
            <w:vAlign w:val="center"/>
          </w:tcPr>
          <w:p>
            <w:pPr>
              <w:pStyle w:val="23"/>
              <w:ind w:firstLine="0" w:firstLineChars="0"/>
              <w:rPr>
                <w:rFonts w:ascii="方正书宋_GBK" w:eastAsia="方正书宋_GBK" w:cs="Times New Roman"/>
                <w:b/>
              </w:rPr>
            </w:pPr>
            <w:r>
              <w:t>20</w:t>
            </w:r>
          </w:p>
        </w:tc>
        <w:tc>
          <w:tcPr>
            <w:tcW w:w="1134" w:type="dxa"/>
            <w:shd w:val="clear" w:color="auto" w:fill="auto"/>
            <w:vAlign w:val="center"/>
          </w:tcPr>
          <w:p>
            <w:pPr>
              <w:pStyle w:val="23"/>
              <w:ind w:firstLine="0" w:firstLineChars="0"/>
              <w:rPr>
                <w:rFonts w:ascii="方正书宋_GBK" w:eastAsia="方正书宋_GBK" w:cs="Times New Roman"/>
                <w:b/>
              </w:rPr>
            </w:pPr>
          </w:p>
        </w:tc>
        <w:tc>
          <w:tcPr>
            <w:tcW w:w="1134" w:type="dxa"/>
            <w:shd w:val="clear" w:color="auto" w:fill="auto"/>
            <w:vAlign w:val="center"/>
          </w:tcPr>
          <w:p>
            <w:pPr>
              <w:pStyle w:val="23"/>
              <w:ind w:firstLine="0" w:firstLineChars="0"/>
              <w:rPr>
                <w:rFonts w:ascii="方正书宋_GBK" w:eastAsia="方正书宋_GBK" w:cs="Times New Roman"/>
                <w:b/>
              </w:rPr>
            </w:pPr>
          </w:p>
        </w:tc>
        <w:tc>
          <w:tcPr>
            <w:tcW w:w="1134" w:type="dxa"/>
            <w:shd w:val="clear" w:color="auto" w:fill="auto"/>
            <w:vAlign w:val="center"/>
          </w:tcPr>
          <w:p>
            <w:pPr>
              <w:pStyle w:val="23"/>
              <w:ind w:firstLine="0" w:firstLineChars="0"/>
              <w:rPr>
                <w:rFonts w:ascii="方正书宋_GBK" w:eastAsia="方正书宋_GBK" w:cs="Times New Roman"/>
                <w:b/>
              </w:rPr>
            </w:pPr>
          </w:p>
        </w:tc>
        <w:tc>
          <w:tcPr>
            <w:tcW w:w="1134" w:type="dxa"/>
            <w:shd w:val="clear" w:color="auto" w:fill="auto"/>
            <w:vAlign w:val="center"/>
          </w:tcPr>
          <w:p>
            <w:pPr>
              <w:pStyle w:val="23"/>
              <w:ind w:firstLine="0" w:firstLineChars="0"/>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hint="eastAsia" w:ascii="方正书宋_GBK" w:eastAsia="方正书宋_GBK" w:cs="Times New Roman"/>
                <w:b/>
                <w:lang w:val="en-US" w:eastAsia="zh-CN"/>
              </w:rPr>
            </w:pPr>
            <w:r>
              <w:t>大厂回族自治县自然资源和规划局信息系统等级保护采购项目</w:t>
            </w:r>
          </w:p>
        </w:tc>
        <w:tc>
          <w:tcPr>
            <w:tcW w:w="1134" w:type="dxa"/>
            <w:shd w:val="clear" w:color="auto" w:fill="auto"/>
            <w:vAlign w:val="center"/>
          </w:tcPr>
          <w:p>
            <w:pPr>
              <w:pStyle w:val="23"/>
              <w:ind w:firstLine="0" w:firstLineChars="0"/>
              <w:rPr>
                <w:rFonts w:hint="default" w:ascii="方正书宋_GBK" w:eastAsia="方正书宋_GBK" w:cs="Times New Roman"/>
                <w:b/>
                <w:lang w:val="en-US"/>
              </w:rPr>
            </w:pPr>
            <w:r>
              <w:t>80</w:t>
            </w:r>
          </w:p>
        </w:tc>
        <w:tc>
          <w:tcPr>
            <w:tcW w:w="1531" w:type="dxa"/>
            <w:shd w:val="clear" w:color="auto" w:fill="auto"/>
            <w:vAlign w:val="center"/>
          </w:tcPr>
          <w:p>
            <w:pPr>
              <w:pStyle w:val="18"/>
              <w:ind w:firstLine="0" w:firstLineChars="0"/>
              <w:rPr>
                <w:rFonts w:hint="default" w:ascii="方正书宋_GBK" w:eastAsia="方正书宋_GBK" w:cs="Times New Roman"/>
                <w:b/>
                <w:lang w:val="en-US"/>
              </w:rPr>
            </w:pPr>
            <w:r>
              <w:t>防火墙</w:t>
            </w:r>
          </w:p>
        </w:tc>
        <w:tc>
          <w:tcPr>
            <w:tcW w:w="1531" w:type="dxa"/>
            <w:shd w:val="clear" w:color="auto" w:fill="auto"/>
            <w:vAlign w:val="center"/>
          </w:tcPr>
          <w:p>
            <w:pPr>
              <w:pStyle w:val="18"/>
              <w:ind w:firstLine="0" w:firstLineChars="0"/>
              <w:rPr>
                <w:rFonts w:hint="default" w:ascii="方正书宋_GBK" w:eastAsia="方正书宋_GBK" w:cs="Times New Roman"/>
                <w:b/>
                <w:lang w:val="en-US"/>
              </w:rPr>
            </w:pPr>
            <w:r>
              <w:t>A02010301</w:t>
            </w:r>
          </w:p>
        </w:tc>
        <w:tc>
          <w:tcPr>
            <w:tcW w:w="709" w:type="dxa"/>
            <w:shd w:val="clear" w:color="auto" w:fill="auto"/>
            <w:vAlign w:val="center"/>
          </w:tcPr>
          <w:p>
            <w:pPr>
              <w:pStyle w:val="19"/>
              <w:ind w:firstLine="0" w:firstLineChars="0"/>
              <w:rPr>
                <w:rFonts w:hint="default" w:ascii="方正书宋_GBK" w:eastAsia="方正书宋_GBK" w:cs="Times New Roman"/>
                <w:b/>
                <w:lang w:val="en-US"/>
              </w:rPr>
            </w:pPr>
            <w:r>
              <w:t>批</w:t>
            </w:r>
          </w:p>
        </w:tc>
        <w:tc>
          <w:tcPr>
            <w:tcW w:w="907" w:type="dxa"/>
            <w:shd w:val="clear" w:color="auto" w:fill="auto"/>
            <w:vAlign w:val="center"/>
          </w:tcPr>
          <w:p>
            <w:pPr>
              <w:pStyle w:val="23"/>
              <w:ind w:firstLine="0" w:firstLineChars="0"/>
              <w:rPr>
                <w:rFonts w:hint="default" w:ascii="方正书宋_GBK" w:eastAsia="方正书宋_GBK" w:cs="Times New Roman"/>
                <w:b/>
                <w:lang w:val="en-US"/>
              </w:rPr>
            </w:pPr>
            <w:r>
              <w:t>1</w:t>
            </w:r>
          </w:p>
        </w:tc>
        <w:tc>
          <w:tcPr>
            <w:tcW w:w="907" w:type="dxa"/>
            <w:shd w:val="clear" w:color="auto" w:fill="auto"/>
            <w:vAlign w:val="center"/>
          </w:tcPr>
          <w:p>
            <w:pPr>
              <w:pStyle w:val="23"/>
              <w:ind w:firstLine="0" w:firstLineChars="0"/>
              <w:rPr>
                <w:rFonts w:hint="default" w:ascii="方正书宋_GBK" w:eastAsia="方正书宋_GBK" w:cs="Times New Roman"/>
                <w:b/>
                <w:lang w:val="en-US"/>
              </w:rPr>
            </w:pPr>
            <w:r>
              <w:t>80</w:t>
            </w:r>
          </w:p>
        </w:tc>
        <w:tc>
          <w:tcPr>
            <w:tcW w:w="1134" w:type="dxa"/>
            <w:shd w:val="clear" w:color="auto" w:fill="auto"/>
            <w:vAlign w:val="center"/>
          </w:tcPr>
          <w:p>
            <w:pPr>
              <w:pStyle w:val="23"/>
              <w:ind w:firstLine="0" w:firstLineChars="0"/>
              <w:rPr>
                <w:rFonts w:hint="default" w:ascii="方正书宋_GBK" w:eastAsia="方正书宋_GBK" w:cs="Times New Roman"/>
                <w:b/>
                <w:lang w:val="en-US"/>
              </w:rPr>
            </w:pPr>
            <w:r>
              <w:t>80</w:t>
            </w:r>
          </w:p>
        </w:tc>
        <w:tc>
          <w:tcPr>
            <w:tcW w:w="1134" w:type="dxa"/>
            <w:shd w:val="clear" w:color="auto" w:fill="auto"/>
            <w:vAlign w:val="center"/>
          </w:tcPr>
          <w:p>
            <w:pPr>
              <w:pStyle w:val="23"/>
              <w:ind w:firstLine="0" w:firstLineChars="0"/>
              <w:rPr>
                <w:rFonts w:hint="default" w:ascii="方正书宋_GBK" w:eastAsia="方正书宋_GBK" w:cs="Times New Roman"/>
                <w:b/>
                <w:lang w:val="en-US"/>
              </w:rPr>
            </w:pPr>
            <w:r>
              <w:t>80</w:t>
            </w:r>
          </w:p>
        </w:tc>
        <w:tc>
          <w:tcPr>
            <w:tcW w:w="1134" w:type="dxa"/>
            <w:shd w:val="clear" w:color="auto" w:fill="auto"/>
            <w:vAlign w:val="center"/>
          </w:tcPr>
          <w:p>
            <w:pPr>
              <w:pStyle w:val="23"/>
              <w:ind w:firstLine="0" w:firstLineChars="0"/>
              <w:rPr>
                <w:rFonts w:hint="default" w:ascii="方正书宋_GBK" w:eastAsia="方正书宋_GBK" w:cs="Times New Roman"/>
                <w:b/>
                <w:lang w:val="en-US"/>
              </w:rPr>
            </w:pPr>
          </w:p>
        </w:tc>
        <w:tc>
          <w:tcPr>
            <w:tcW w:w="1134" w:type="dxa"/>
            <w:shd w:val="clear" w:color="auto" w:fill="auto"/>
            <w:vAlign w:val="center"/>
          </w:tcPr>
          <w:p>
            <w:pPr>
              <w:pStyle w:val="23"/>
              <w:ind w:firstLine="0" w:firstLineChars="0"/>
              <w:rPr>
                <w:rFonts w:hint="default" w:ascii="方正书宋_GBK" w:eastAsia="方正书宋_GBK" w:cs="Times New Roman"/>
                <w:b/>
                <w:lang w:val="en-US"/>
              </w:rPr>
            </w:pPr>
          </w:p>
        </w:tc>
        <w:tc>
          <w:tcPr>
            <w:tcW w:w="1134" w:type="dxa"/>
            <w:shd w:val="clear" w:color="auto" w:fill="auto"/>
            <w:vAlign w:val="center"/>
          </w:tcPr>
          <w:p>
            <w:pPr>
              <w:pStyle w:val="23"/>
              <w:ind w:firstLine="0" w:firstLineChars="0"/>
              <w:rPr>
                <w:rFonts w:hint="default" w:ascii="方正书宋_GBK" w:eastAsia="方正书宋_GBK" w:cs="Times New Roman"/>
                <w:b/>
                <w:lang w:val="en-US"/>
              </w:rPr>
            </w:pPr>
          </w:p>
        </w:tc>
        <w:tc>
          <w:tcPr>
            <w:tcW w:w="1134" w:type="dxa"/>
            <w:shd w:val="clear" w:color="auto" w:fill="auto"/>
            <w:vAlign w:val="center"/>
          </w:tcPr>
          <w:p>
            <w:pPr>
              <w:pStyle w:val="23"/>
              <w:ind w:firstLine="0" w:firstLineChars="0"/>
              <w:rPr>
                <w:rFonts w:hint="default" w:ascii="方正书宋_GBK" w:eastAsia="方正书宋_GBK" w:cs="Times New Roman"/>
                <w:b/>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8"/>
              <w:ind w:firstLine="0" w:firstLineChars="0"/>
              <w:rPr>
                <w:rFonts w:ascii="方正书宋_GBK" w:eastAsia="方正书宋_GBK" w:cs="Times New Roman"/>
              </w:rPr>
            </w:pPr>
            <w:r>
              <w:t>大厂县视频监控智慧国土指挥平台项目（一期）服务费用</w:t>
            </w:r>
          </w:p>
        </w:tc>
        <w:tc>
          <w:tcPr>
            <w:tcW w:w="1134" w:type="dxa"/>
            <w:shd w:val="clear" w:color="auto" w:fill="auto"/>
            <w:vAlign w:val="center"/>
          </w:tcPr>
          <w:p>
            <w:pPr>
              <w:pStyle w:val="23"/>
              <w:ind w:firstLine="0" w:firstLineChars="0"/>
              <w:rPr>
                <w:rFonts w:ascii="方正书宋_GBK" w:eastAsia="方正书宋_GBK" w:cs="Times New Roman"/>
              </w:rPr>
            </w:pPr>
            <w:r>
              <w:t>10</w:t>
            </w:r>
          </w:p>
        </w:tc>
        <w:tc>
          <w:tcPr>
            <w:tcW w:w="1531" w:type="dxa"/>
            <w:shd w:val="clear" w:color="auto" w:fill="auto"/>
            <w:vAlign w:val="center"/>
          </w:tcPr>
          <w:p>
            <w:pPr>
              <w:pStyle w:val="18"/>
              <w:ind w:firstLine="0" w:firstLineChars="0"/>
              <w:rPr>
                <w:rFonts w:ascii="方正书宋_GBK" w:eastAsia="方正书宋_GBK" w:cs="Times New Roman"/>
              </w:rPr>
            </w:pPr>
            <w:r>
              <w:t>其他维修和保养服务</w:t>
            </w:r>
          </w:p>
        </w:tc>
        <w:tc>
          <w:tcPr>
            <w:tcW w:w="1531" w:type="dxa"/>
            <w:shd w:val="clear" w:color="auto" w:fill="auto"/>
            <w:vAlign w:val="center"/>
          </w:tcPr>
          <w:p>
            <w:pPr>
              <w:pStyle w:val="18"/>
              <w:ind w:firstLine="0" w:firstLineChars="0"/>
              <w:rPr>
                <w:rFonts w:ascii="方正书宋_GBK" w:eastAsia="方正书宋_GBK" w:cs="Times New Roman"/>
              </w:rPr>
            </w:pPr>
            <w:r>
              <w:t>C0599</w:t>
            </w:r>
          </w:p>
        </w:tc>
        <w:tc>
          <w:tcPr>
            <w:tcW w:w="709" w:type="dxa"/>
            <w:shd w:val="clear" w:color="auto" w:fill="auto"/>
            <w:vAlign w:val="center"/>
          </w:tcPr>
          <w:p>
            <w:pPr>
              <w:pStyle w:val="19"/>
              <w:ind w:firstLine="0" w:firstLineChars="0"/>
              <w:rPr>
                <w:rFonts w:ascii="方正书宋_GBK" w:eastAsia="方正书宋_GBK" w:cs="Times New Roman"/>
              </w:rPr>
            </w:pPr>
            <w:r>
              <w:t>年</w:t>
            </w:r>
          </w:p>
        </w:tc>
        <w:tc>
          <w:tcPr>
            <w:tcW w:w="907" w:type="dxa"/>
            <w:shd w:val="clear" w:color="auto" w:fill="auto"/>
            <w:vAlign w:val="center"/>
          </w:tcPr>
          <w:p>
            <w:pPr>
              <w:pStyle w:val="23"/>
              <w:ind w:firstLine="0" w:firstLineChars="0"/>
              <w:rPr>
                <w:rFonts w:ascii="方正书宋_GBK" w:eastAsia="方正书宋_GBK" w:cs="Times New Roman"/>
              </w:rPr>
            </w:pPr>
            <w:r>
              <w:t>1</w:t>
            </w:r>
          </w:p>
        </w:tc>
        <w:tc>
          <w:tcPr>
            <w:tcW w:w="907" w:type="dxa"/>
            <w:shd w:val="clear" w:color="auto" w:fill="auto"/>
            <w:vAlign w:val="center"/>
          </w:tcPr>
          <w:p>
            <w:pPr>
              <w:pStyle w:val="23"/>
              <w:ind w:firstLine="0" w:firstLineChars="0"/>
              <w:rPr>
                <w:rFonts w:ascii="方正书宋_GBK" w:eastAsia="方正书宋_GBK" w:cs="Times New Roman"/>
              </w:rPr>
            </w:pPr>
            <w:r>
              <w:t>10</w:t>
            </w:r>
          </w:p>
        </w:tc>
        <w:tc>
          <w:tcPr>
            <w:tcW w:w="1134" w:type="dxa"/>
            <w:shd w:val="clear" w:color="auto" w:fill="auto"/>
            <w:vAlign w:val="center"/>
          </w:tcPr>
          <w:p>
            <w:pPr>
              <w:ind w:firstLine="0" w:firstLineChars="0"/>
              <w:rPr>
                <w:rFonts w:ascii="方正书宋_GBK" w:eastAsia="方正书宋_GBK" w:cs="Times New Roman"/>
              </w:rPr>
            </w:pPr>
            <w:r>
              <w:t>10</w:t>
            </w:r>
          </w:p>
        </w:tc>
        <w:tc>
          <w:tcPr>
            <w:tcW w:w="1134" w:type="dxa"/>
            <w:shd w:val="clear" w:color="auto" w:fill="auto"/>
            <w:vAlign w:val="center"/>
          </w:tcPr>
          <w:p>
            <w:pPr>
              <w:ind w:firstLine="0" w:firstLineChars="0"/>
              <w:rPr>
                <w:rFonts w:ascii="方正书宋_GBK" w:eastAsia="方正书宋_GBK" w:cs="Times New Roman"/>
              </w:rPr>
            </w:pPr>
            <w:r>
              <w:t>10</w:t>
            </w:r>
          </w:p>
        </w:tc>
        <w:tc>
          <w:tcPr>
            <w:tcW w:w="1134" w:type="dxa"/>
            <w:shd w:val="clear" w:color="auto" w:fill="auto"/>
            <w:vAlign w:val="center"/>
          </w:tcPr>
          <w:p>
            <w:pPr>
              <w:pStyle w:val="23"/>
              <w:ind w:firstLine="0" w:firstLineChars="0"/>
              <w:rPr>
                <w:rFonts w:ascii="方正书宋_GBK" w:eastAsia="方正书宋_GBK" w:cs="Times New Roman"/>
              </w:rPr>
            </w:pPr>
          </w:p>
        </w:tc>
        <w:tc>
          <w:tcPr>
            <w:tcW w:w="1134" w:type="dxa"/>
            <w:shd w:val="clear" w:color="auto" w:fill="auto"/>
            <w:vAlign w:val="center"/>
          </w:tcPr>
          <w:p>
            <w:pPr>
              <w:pStyle w:val="23"/>
              <w:ind w:firstLine="0" w:firstLineChars="0"/>
              <w:rPr>
                <w:rFonts w:ascii="方正书宋_GBK" w:eastAsia="方正书宋_GBK" w:cs="Times New Roman"/>
              </w:rPr>
            </w:pPr>
          </w:p>
        </w:tc>
        <w:tc>
          <w:tcPr>
            <w:tcW w:w="1134" w:type="dxa"/>
            <w:shd w:val="clear" w:color="auto" w:fill="auto"/>
            <w:vAlign w:val="center"/>
          </w:tcPr>
          <w:p>
            <w:pPr>
              <w:pStyle w:val="23"/>
              <w:ind w:firstLine="0" w:firstLineChars="0"/>
              <w:rPr>
                <w:rFonts w:ascii="方正书宋_GBK" w:eastAsia="方正书宋_GBK" w:cs="Times New Roman"/>
              </w:rPr>
            </w:pPr>
          </w:p>
        </w:tc>
        <w:tc>
          <w:tcPr>
            <w:tcW w:w="1134" w:type="dxa"/>
            <w:shd w:val="clear" w:color="auto" w:fill="auto"/>
            <w:vAlign w:val="center"/>
          </w:tcPr>
          <w:p>
            <w:pPr>
              <w:pStyle w:val="23"/>
              <w:ind w:firstLine="0" w:firstLineChars="0"/>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耕地质量分等定级调查评价资金</w:t>
            </w:r>
          </w:p>
        </w:tc>
        <w:tc>
          <w:tcPr>
            <w:tcW w:w="1134" w:type="dxa"/>
            <w:noWrap w:val="0"/>
            <w:vAlign w:val="center"/>
          </w:tcPr>
          <w:p>
            <w:pPr>
              <w:pStyle w:val="18"/>
              <w:ind w:firstLine="0" w:firstLineChars="0"/>
              <w:rPr>
                <w:rFonts w:ascii="方正书宋_GBK" w:hAnsi="方正书宋_GBK" w:eastAsia="方正书宋_GBK" w:cs="方正书宋_GBK"/>
              </w:rPr>
            </w:pPr>
            <w:r>
              <w:t>10</w:t>
            </w:r>
          </w:p>
        </w:tc>
        <w:tc>
          <w:tcPr>
            <w:tcW w:w="1531"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地质勘测服务</w:t>
            </w:r>
          </w:p>
        </w:tc>
        <w:tc>
          <w:tcPr>
            <w:tcW w:w="1531"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C0906</w:t>
            </w:r>
          </w:p>
        </w:tc>
        <w:tc>
          <w:tcPr>
            <w:tcW w:w="709"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项目</w:t>
            </w:r>
          </w:p>
        </w:tc>
        <w:tc>
          <w:tcPr>
            <w:tcW w:w="907"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1</w:t>
            </w:r>
          </w:p>
        </w:tc>
        <w:tc>
          <w:tcPr>
            <w:tcW w:w="907" w:type="dxa"/>
            <w:noWrap w:val="0"/>
            <w:vAlign w:val="center"/>
          </w:tcPr>
          <w:p>
            <w:pPr>
              <w:ind w:firstLine="0" w:firstLineChars="0"/>
              <w:rPr>
                <w:rFonts w:ascii="方正书宋_GBK" w:hAnsi="方正书宋_GBK" w:eastAsia="方正书宋_GBK" w:cs="方正书宋_GBK"/>
              </w:rPr>
            </w:pPr>
            <w:r>
              <w:t>10</w:t>
            </w:r>
          </w:p>
        </w:tc>
        <w:tc>
          <w:tcPr>
            <w:tcW w:w="1134" w:type="dxa"/>
            <w:noWrap w:val="0"/>
            <w:vAlign w:val="center"/>
          </w:tcPr>
          <w:p>
            <w:pPr>
              <w:ind w:firstLine="0" w:firstLineChars="0"/>
              <w:rPr>
                <w:rFonts w:ascii="方正书宋_GBK" w:hAnsi="方正书宋_GBK" w:eastAsia="方正书宋_GBK" w:cs="方正书宋_GBK"/>
              </w:rPr>
            </w:pPr>
            <w:r>
              <w:t>10</w:t>
            </w:r>
          </w:p>
        </w:tc>
        <w:tc>
          <w:tcPr>
            <w:tcW w:w="1134" w:type="dxa"/>
            <w:noWrap w:val="0"/>
            <w:vAlign w:val="center"/>
          </w:tcPr>
          <w:p>
            <w:pPr>
              <w:ind w:firstLine="0" w:firstLineChars="0"/>
              <w:rPr>
                <w:rFonts w:ascii="方正书宋_GBK" w:hAnsi="方正书宋_GBK" w:eastAsia="方正书宋_GBK" w:cs="方正书宋_GBK"/>
              </w:rPr>
            </w:pPr>
            <w:r>
              <w:t>10</w:t>
            </w: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国土空间生态修复规划经费</w:t>
            </w:r>
          </w:p>
        </w:tc>
        <w:tc>
          <w:tcPr>
            <w:tcW w:w="1134"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20</w:t>
            </w:r>
          </w:p>
        </w:tc>
        <w:tc>
          <w:tcPr>
            <w:tcW w:w="1531"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社会与管理咨询服务</w:t>
            </w:r>
          </w:p>
        </w:tc>
        <w:tc>
          <w:tcPr>
            <w:tcW w:w="1531"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C0808</w:t>
            </w:r>
          </w:p>
        </w:tc>
        <w:tc>
          <w:tcPr>
            <w:tcW w:w="709"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个</w:t>
            </w:r>
          </w:p>
        </w:tc>
        <w:tc>
          <w:tcPr>
            <w:tcW w:w="907"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1</w:t>
            </w:r>
          </w:p>
        </w:tc>
        <w:tc>
          <w:tcPr>
            <w:tcW w:w="907" w:type="dxa"/>
            <w:noWrap w:val="0"/>
            <w:vAlign w:val="center"/>
          </w:tcPr>
          <w:p>
            <w:pPr>
              <w:ind w:firstLine="0" w:firstLineChars="0"/>
              <w:rPr>
                <w:rFonts w:ascii="方正书宋_GBK" w:hAnsi="方正书宋_GBK" w:eastAsia="方正书宋_GBK" w:cs="方正书宋_GBK"/>
              </w:rPr>
            </w:pPr>
            <w:r>
              <w:rPr>
                <w:rFonts w:ascii="方正书宋_GBK" w:hAnsi="方正书宋_GBK" w:eastAsia="方正书宋_GBK" w:cs="方正书宋_GBK"/>
              </w:rPr>
              <w:t>20</w:t>
            </w:r>
          </w:p>
        </w:tc>
        <w:tc>
          <w:tcPr>
            <w:tcW w:w="1134" w:type="dxa"/>
            <w:noWrap w:val="0"/>
            <w:vAlign w:val="center"/>
          </w:tcPr>
          <w:p>
            <w:pPr>
              <w:ind w:firstLine="0" w:firstLineChars="0"/>
              <w:rPr>
                <w:rFonts w:ascii="方正书宋_GBK" w:hAnsi="方正书宋_GBK" w:eastAsia="方正书宋_GBK" w:cs="方正书宋_GBK"/>
              </w:rPr>
            </w:pPr>
            <w:r>
              <w:rPr>
                <w:rFonts w:ascii="方正书宋_GBK" w:hAnsi="方正书宋_GBK" w:eastAsia="方正书宋_GBK" w:cs="方正书宋_GBK"/>
              </w:rPr>
              <w:t>20</w:t>
            </w:r>
          </w:p>
        </w:tc>
        <w:tc>
          <w:tcPr>
            <w:tcW w:w="1134" w:type="dxa"/>
            <w:noWrap w:val="0"/>
            <w:vAlign w:val="center"/>
          </w:tcPr>
          <w:p>
            <w:pPr>
              <w:ind w:firstLine="0" w:firstLineChars="0"/>
              <w:rPr>
                <w:rFonts w:ascii="方正书宋_GBK" w:hAnsi="方正书宋_GBK" w:eastAsia="方正书宋_GBK" w:cs="方正书宋_GBK"/>
              </w:rPr>
            </w:pPr>
            <w:r>
              <w:rPr>
                <w:rFonts w:ascii="方正书宋_GBK" w:hAnsi="方正书宋_GBK" w:eastAsia="方正书宋_GBK" w:cs="方正书宋_GBK"/>
              </w:rPr>
              <w:t>20</w:t>
            </w: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林地保护利用规划编制</w:t>
            </w:r>
          </w:p>
        </w:tc>
        <w:tc>
          <w:tcPr>
            <w:tcW w:w="1134"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5</w:t>
            </w:r>
          </w:p>
        </w:tc>
        <w:tc>
          <w:tcPr>
            <w:tcW w:w="1531"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城市规划和设计服务</w:t>
            </w:r>
          </w:p>
        </w:tc>
        <w:tc>
          <w:tcPr>
            <w:tcW w:w="1531"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C1301</w:t>
            </w:r>
          </w:p>
        </w:tc>
        <w:tc>
          <w:tcPr>
            <w:tcW w:w="709"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个</w:t>
            </w:r>
          </w:p>
        </w:tc>
        <w:tc>
          <w:tcPr>
            <w:tcW w:w="907"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1</w:t>
            </w:r>
          </w:p>
        </w:tc>
        <w:tc>
          <w:tcPr>
            <w:tcW w:w="907" w:type="dxa"/>
            <w:noWrap w:val="0"/>
            <w:vAlign w:val="center"/>
          </w:tcPr>
          <w:p>
            <w:pPr>
              <w:ind w:firstLine="0" w:firstLineChars="0"/>
              <w:rPr>
                <w:rFonts w:ascii="方正书宋_GBK" w:hAnsi="方正书宋_GBK" w:eastAsia="方正书宋_GBK" w:cs="方正书宋_GBK"/>
              </w:rPr>
            </w:pPr>
            <w:r>
              <w:rPr>
                <w:rFonts w:ascii="方正书宋_GBK" w:hAnsi="方正书宋_GBK" w:eastAsia="方正书宋_GBK" w:cs="方正书宋_GBK"/>
              </w:rPr>
              <w:t>5</w:t>
            </w:r>
          </w:p>
        </w:tc>
        <w:tc>
          <w:tcPr>
            <w:tcW w:w="1134" w:type="dxa"/>
            <w:noWrap w:val="0"/>
            <w:vAlign w:val="center"/>
          </w:tcPr>
          <w:p>
            <w:pPr>
              <w:ind w:firstLine="0" w:firstLineChars="0"/>
              <w:rPr>
                <w:rFonts w:ascii="方正书宋_GBK" w:hAnsi="方正书宋_GBK" w:eastAsia="方正书宋_GBK" w:cs="方正书宋_GBK"/>
              </w:rPr>
            </w:pPr>
            <w:r>
              <w:rPr>
                <w:rFonts w:ascii="方正书宋_GBK" w:hAnsi="方正书宋_GBK" w:eastAsia="方正书宋_GBK" w:cs="方正书宋_GBK"/>
              </w:rPr>
              <w:t>5</w:t>
            </w:r>
          </w:p>
        </w:tc>
        <w:tc>
          <w:tcPr>
            <w:tcW w:w="1134" w:type="dxa"/>
            <w:noWrap w:val="0"/>
            <w:vAlign w:val="center"/>
          </w:tcPr>
          <w:p>
            <w:pPr>
              <w:ind w:firstLine="0" w:firstLineChars="0"/>
              <w:rPr>
                <w:rFonts w:ascii="方正书宋_GBK" w:hAnsi="方正书宋_GBK" w:eastAsia="方正书宋_GBK" w:cs="方正书宋_GBK"/>
              </w:rPr>
            </w:pPr>
            <w:r>
              <w:rPr>
                <w:rFonts w:ascii="方正书宋_GBK" w:hAnsi="方正书宋_GBK" w:eastAsia="方正书宋_GBK" w:cs="方正书宋_GBK"/>
              </w:rPr>
              <w:t>5</w:t>
            </w: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林业有害生物监测防治项目资金</w:t>
            </w:r>
          </w:p>
        </w:tc>
        <w:tc>
          <w:tcPr>
            <w:tcW w:w="1134"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130</w:t>
            </w:r>
          </w:p>
        </w:tc>
        <w:tc>
          <w:tcPr>
            <w:tcW w:w="1531"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生物农药及微生物农药</w:t>
            </w:r>
          </w:p>
        </w:tc>
        <w:tc>
          <w:tcPr>
            <w:tcW w:w="1531"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A170107</w:t>
            </w:r>
          </w:p>
        </w:tc>
        <w:tc>
          <w:tcPr>
            <w:tcW w:w="709"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吨</w:t>
            </w:r>
          </w:p>
        </w:tc>
        <w:tc>
          <w:tcPr>
            <w:tcW w:w="907"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10</w:t>
            </w:r>
          </w:p>
        </w:tc>
        <w:tc>
          <w:tcPr>
            <w:tcW w:w="907"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5</w:t>
            </w:r>
            <w:r>
              <w:rPr>
                <w:rFonts w:hint="eastAsia" w:ascii="方正书宋_GBK" w:hAnsi="方正书宋_GBK" w:eastAsia="方正书宋_GBK" w:cs="方正书宋_GBK"/>
                <w:lang w:val="en-US" w:eastAsia="zh-CN"/>
              </w:rPr>
              <w:t>.</w:t>
            </w:r>
            <w:r>
              <w:rPr>
                <w:rFonts w:ascii="方正书宋_GBK" w:hAnsi="方正书宋_GBK" w:eastAsia="方正书宋_GBK" w:cs="方正书宋_GBK"/>
              </w:rPr>
              <w:t>6</w:t>
            </w:r>
          </w:p>
        </w:tc>
        <w:tc>
          <w:tcPr>
            <w:tcW w:w="1134"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5</w:t>
            </w:r>
            <w:r>
              <w:rPr>
                <w:rFonts w:hint="eastAsia" w:ascii="方正书宋_GBK" w:hAnsi="方正书宋_GBK" w:eastAsia="方正书宋_GBK" w:cs="方正书宋_GBK"/>
                <w:lang w:val="en-US" w:eastAsia="zh-CN"/>
              </w:rPr>
              <w:t>.</w:t>
            </w:r>
            <w:r>
              <w:rPr>
                <w:rFonts w:ascii="方正书宋_GBK" w:hAnsi="方正书宋_GBK" w:eastAsia="方正书宋_GBK" w:cs="方正书宋_GBK"/>
              </w:rPr>
              <w:t>6</w:t>
            </w:r>
          </w:p>
        </w:tc>
        <w:tc>
          <w:tcPr>
            <w:tcW w:w="1134" w:type="dxa"/>
            <w:noWrap w:val="0"/>
            <w:vAlign w:val="center"/>
          </w:tcPr>
          <w:p>
            <w:pPr>
              <w:pStyle w:val="18"/>
              <w:ind w:firstLine="0" w:firstLineChars="0"/>
              <w:rPr>
                <w:rFonts w:ascii="方正书宋_GBK" w:hAnsi="方正书宋_GBK" w:eastAsia="方正书宋_GBK" w:cs="方正书宋_GBK"/>
              </w:rPr>
            </w:pPr>
            <w:r>
              <w:rPr>
                <w:rFonts w:ascii="方正书宋_GBK" w:hAnsi="方正书宋_GBK" w:eastAsia="方正书宋_GBK" w:cs="方正书宋_GBK"/>
              </w:rPr>
              <w:t>5</w:t>
            </w:r>
            <w:r>
              <w:rPr>
                <w:rFonts w:hint="eastAsia" w:ascii="方正书宋_GBK" w:hAnsi="方正书宋_GBK" w:eastAsia="方正书宋_GBK" w:cs="方正书宋_GBK"/>
                <w:lang w:val="en-US" w:eastAsia="zh-CN"/>
              </w:rPr>
              <w:t>.</w:t>
            </w:r>
            <w:r>
              <w:rPr>
                <w:rFonts w:ascii="方正书宋_GBK" w:hAnsi="方正书宋_GBK" w:eastAsia="方正书宋_GBK" w:cs="方正书宋_GBK"/>
              </w:rPr>
              <w:t>6</w:t>
            </w: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c>
          <w:tcPr>
            <w:tcW w:w="1134" w:type="dxa"/>
            <w:noWrap w:val="0"/>
            <w:vAlign w:val="center"/>
          </w:tcPr>
          <w:p>
            <w:pPr>
              <w:pStyle w:val="18"/>
              <w:ind w:firstLine="0" w:firstLineChars="0"/>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pStyle w:val="18"/>
              <w:ind w:firstLine="0" w:firstLineChars="0"/>
              <w:rPr>
                <w:rFonts w:ascii="方正书宋_GBK" w:hAnsi="方正书宋_GBK" w:eastAsia="方正书宋_GBK" w:cs="方正书宋_GBK"/>
              </w:rPr>
            </w:pPr>
            <w:r>
              <w:t>林业有害生物监测防治项目资金</w:t>
            </w:r>
          </w:p>
        </w:tc>
        <w:tc>
          <w:tcPr>
            <w:tcW w:w="1134" w:type="dxa"/>
            <w:noWrap w:val="0"/>
            <w:vAlign w:val="center"/>
          </w:tcPr>
          <w:p>
            <w:pPr>
              <w:pStyle w:val="23"/>
              <w:ind w:firstLine="0" w:firstLineChars="0"/>
              <w:rPr>
                <w:rFonts w:ascii="方正书宋_GBK" w:hAnsi="方正书宋_GBK" w:eastAsia="方正书宋_GBK" w:cs="方正书宋_GBK"/>
              </w:rPr>
            </w:pPr>
            <w:r>
              <w:rPr>
                <w:rFonts w:ascii="方正书宋_GBK" w:hAnsi="方正书宋_GBK" w:eastAsia="方正书宋_GBK" w:cs="方正书宋_GBK"/>
              </w:rPr>
              <w:t>130</w:t>
            </w:r>
          </w:p>
        </w:tc>
        <w:tc>
          <w:tcPr>
            <w:tcW w:w="1531" w:type="dxa"/>
            <w:noWrap w:val="0"/>
            <w:vAlign w:val="center"/>
          </w:tcPr>
          <w:p>
            <w:pPr>
              <w:pStyle w:val="18"/>
              <w:ind w:firstLine="0" w:firstLineChars="0"/>
              <w:rPr>
                <w:rFonts w:ascii="方正书宋_GBK" w:hAnsi="方正书宋_GBK" w:eastAsia="方正书宋_GBK" w:cs="方正书宋_GBK"/>
              </w:rPr>
            </w:pPr>
            <w:r>
              <w:t>林业有害生物防治服务</w:t>
            </w:r>
          </w:p>
        </w:tc>
        <w:tc>
          <w:tcPr>
            <w:tcW w:w="1531" w:type="dxa"/>
            <w:noWrap w:val="0"/>
            <w:vAlign w:val="center"/>
          </w:tcPr>
          <w:p>
            <w:pPr>
              <w:pStyle w:val="18"/>
              <w:ind w:firstLine="0" w:firstLineChars="0"/>
              <w:rPr>
                <w:rFonts w:ascii="方正书宋_GBK" w:hAnsi="方正书宋_GBK" w:eastAsia="方正书宋_GBK" w:cs="方正书宋_GBK"/>
              </w:rPr>
            </w:pPr>
            <w:r>
              <w:t>C210204</w:t>
            </w:r>
          </w:p>
        </w:tc>
        <w:tc>
          <w:tcPr>
            <w:tcW w:w="709" w:type="dxa"/>
            <w:noWrap w:val="0"/>
            <w:vAlign w:val="center"/>
          </w:tcPr>
          <w:p>
            <w:pPr>
              <w:pStyle w:val="19"/>
              <w:ind w:firstLine="0" w:firstLineChars="0"/>
              <w:rPr>
                <w:rFonts w:ascii="方正书宋_GBK" w:hAnsi="方正书宋_GBK" w:eastAsia="方正书宋_GBK" w:cs="方正书宋_GBK"/>
              </w:rPr>
            </w:pPr>
            <w:r>
              <w:t>亩</w:t>
            </w:r>
          </w:p>
        </w:tc>
        <w:tc>
          <w:tcPr>
            <w:tcW w:w="907" w:type="dxa"/>
            <w:noWrap w:val="0"/>
            <w:vAlign w:val="center"/>
          </w:tcPr>
          <w:p>
            <w:pPr>
              <w:pStyle w:val="23"/>
              <w:ind w:firstLine="0" w:firstLineChars="0"/>
              <w:rPr>
                <w:rFonts w:ascii="方正书宋_GBK" w:hAnsi="方正书宋_GBK" w:eastAsia="方正书宋_GBK" w:cs="方正书宋_GBK"/>
              </w:rPr>
            </w:pPr>
            <w:r>
              <w:t>150000</w:t>
            </w:r>
          </w:p>
        </w:tc>
        <w:tc>
          <w:tcPr>
            <w:tcW w:w="907" w:type="dxa"/>
            <w:noWrap w:val="0"/>
            <w:vAlign w:val="center"/>
          </w:tcPr>
          <w:p>
            <w:pPr>
              <w:pStyle w:val="23"/>
              <w:ind w:firstLine="0" w:firstLineChars="0"/>
              <w:rPr>
                <w:rFonts w:ascii="方正书宋_GBK" w:hAnsi="方正书宋_GBK" w:eastAsia="方正书宋_GBK" w:cs="方正书宋_GBK"/>
              </w:rPr>
            </w:pPr>
            <w:r>
              <w:t>4.67</w:t>
            </w:r>
          </w:p>
        </w:tc>
        <w:tc>
          <w:tcPr>
            <w:tcW w:w="1134" w:type="dxa"/>
            <w:noWrap w:val="0"/>
            <w:vAlign w:val="center"/>
          </w:tcPr>
          <w:p>
            <w:pPr>
              <w:pStyle w:val="23"/>
              <w:ind w:firstLine="0" w:firstLineChars="0"/>
              <w:rPr>
                <w:rFonts w:ascii="方正书宋_GBK" w:hAnsi="方正书宋_GBK" w:eastAsia="方正书宋_GBK" w:cs="方正书宋_GBK"/>
              </w:rPr>
            </w:pPr>
            <w:r>
              <w:t>70</w:t>
            </w:r>
            <w:r>
              <w:rPr>
                <w:rFonts w:hint="eastAsia"/>
                <w:lang w:val="en-US" w:eastAsia="zh-CN"/>
              </w:rPr>
              <w:t>.</w:t>
            </w:r>
            <w:r>
              <w:t>05</w:t>
            </w:r>
          </w:p>
        </w:tc>
        <w:tc>
          <w:tcPr>
            <w:tcW w:w="1134" w:type="dxa"/>
            <w:noWrap w:val="0"/>
            <w:vAlign w:val="center"/>
          </w:tcPr>
          <w:p>
            <w:pPr>
              <w:pStyle w:val="23"/>
              <w:ind w:firstLine="0" w:firstLineChars="0"/>
              <w:rPr>
                <w:rFonts w:ascii="方正书宋_GBK" w:hAnsi="方正书宋_GBK" w:eastAsia="方正书宋_GBK" w:cs="方正书宋_GBK"/>
              </w:rPr>
            </w:pPr>
            <w:r>
              <w:t>70</w:t>
            </w:r>
            <w:r>
              <w:rPr>
                <w:rFonts w:hint="eastAsia"/>
                <w:lang w:val="en-US" w:eastAsia="zh-CN"/>
              </w:rPr>
              <w:t>.</w:t>
            </w:r>
            <w:r>
              <w:t>05</w:t>
            </w:r>
          </w:p>
        </w:tc>
        <w:tc>
          <w:tcPr>
            <w:tcW w:w="1134" w:type="dxa"/>
            <w:noWrap w:val="0"/>
            <w:vAlign w:val="center"/>
          </w:tcPr>
          <w:p>
            <w:pPr>
              <w:pStyle w:val="23"/>
              <w:ind w:firstLine="0" w:firstLineChars="0"/>
              <w:rPr>
                <w:rFonts w:ascii="方正书宋_GBK" w:hAnsi="方正书宋_GBK" w:eastAsia="方正书宋_GBK" w:cs="方正书宋_GBK"/>
              </w:rPr>
            </w:pPr>
          </w:p>
        </w:tc>
        <w:tc>
          <w:tcPr>
            <w:tcW w:w="1134" w:type="dxa"/>
            <w:noWrap w:val="0"/>
            <w:vAlign w:val="center"/>
          </w:tcPr>
          <w:p>
            <w:pPr>
              <w:pStyle w:val="23"/>
              <w:ind w:firstLine="0" w:firstLineChars="0"/>
              <w:rPr>
                <w:rFonts w:ascii="方正书宋_GBK" w:hAnsi="方正书宋_GBK" w:eastAsia="方正书宋_GBK" w:cs="方正书宋_GBK"/>
              </w:rPr>
            </w:pPr>
          </w:p>
        </w:tc>
        <w:tc>
          <w:tcPr>
            <w:tcW w:w="1134" w:type="dxa"/>
            <w:noWrap w:val="0"/>
            <w:vAlign w:val="center"/>
          </w:tcPr>
          <w:p>
            <w:pPr>
              <w:pStyle w:val="23"/>
              <w:ind w:firstLine="0" w:firstLineChars="0"/>
              <w:rPr>
                <w:rFonts w:ascii="方正书宋_GBK" w:hAnsi="方正书宋_GBK" w:eastAsia="方正书宋_GBK" w:cs="方正书宋_GBK"/>
              </w:rPr>
            </w:pPr>
          </w:p>
        </w:tc>
        <w:tc>
          <w:tcPr>
            <w:tcW w:w="1134" w:type="dxa"/>
            <w:noWrap w:val="0"/>
            <w:vAlign w:val="center"/>
          </w:tcPr>
          <w:p>
            <w:pPr>
              <w:pStyle w:val="23"/>
              <w:ind w:firstLine="0" w:firstLineChars="0"/>
              <w:rPr>
                <w:rFonts w:ascii="方正书宋_GBK" w:hAns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pStyle w:val="18"/>
              <w:ind w:firstLine="0" w:firstLineChars="0"/>
              <w:rPr>
                <w:rFonts w:ascii="方正书宋_GBK" w:hAnsi="方正书宋_GBK" w:eastAsia="方正书宋_GBK" w:cs="方正书宋_GBK"/>
              </w:rPr>
            </w:pPr>
            <w:r>
              <w:t>修改不动产登记数据库项目</w:t>
            </w:r>
          </w:p>
        </w:tc>
        <w:tc>
          <w:tcPr>
            <w:tcW w:w="1134" w:type="dxa"/>
            <w:noWrap w:val="0"/>
            <w:vAlign w:val="center"/>
          </w:tcPr>
          <w:p>
            <w:pPr>
              <w:pStyle w:val="23"/>
              <w:ind w:firstLine="0" w:firstLineChars="0"/>
              <w:rPr>
                <w:rFonts w:ascii="方正书宋_GBK" w:hAnsi="方正书宋_GBK" w:eastAsia="方正书宋_GBK" w:cs="方正书宋_GBK"/>
              </w:rPr>
            </w:pPr>
            <w:r>
              <w:t>20</w:t>
            </w:r>
          </w:p>
        </w:tc>
        <w:tc>
          <w:tcPr>
            <w:tcW w:w="1531" w:type="dxa"/>
            <w:noWrap w:val="0"/>
            <w:vAlign w:val="center"/>
          </w:tcPr>
          <w:p>
            <w:pPr>
              <w:pStyle w:val="18"/>
              <w:ind w:firstLine="0" w:firstLineChars="0"/>
              <w:rPr>
                <w:rFonts w:ascii="方正书宋_GBK" w:hAnsi="方正书宋_GBK" w:eastAsia="方正书宋_GBK" w:cs="方正书宋_GBK"/>
              </w:rPr>
            </w:pPr>
            <w:r>
              <w:t>行业应用软件开发服务</w:t>
            </w:r>
          </w:p>
        </w:tc>
        <w:tc>
          <w:tcPr>
            <w:tcW w:w="1531" w:type="dxa"/>
            <w:noWrap w:val="0"/>
            <w:vAlign w:val="center"/>
          </w:tcPr>
          <w:p>
            <w:pPr>
              <w:pStyle w:val="18"/>
              <w:ind w:firstLine="0" w:firstLineChars="0"/>
              <w:rPr>
                <w:rFonts w:ascii="方正书宋_GBK" w:hAnsi="方正书宋_GBK" w:eastAsia="方正书宋_GBK" w:cs="方正书宋_GBK"/>
              </w:rPr>
            </w:pPr>
            <w:r>
              <w:t>C02010302</w:t>
            </w:r>
          </w:p>
        </w:tc>
        <w:tc>
          <w:tcPr>
            <w:tcW w:w="709" w:type="dxa"/>
            <w:noWrap w:val="0"/>
            <w:vAlign w:val="center"/>
          </w:tcPr>
          <w:p>
            <w:pPr>
              <w:pStyle w:val="19"/>
              <w:ind w:firstLine="0" w:firstLineChars="0"/>
              <w:rPr>
                <w:rFonts w:ascii="方正书宋_GBK" w:hAnsi="方正书宋_GBK" w:eastAsia="方正书宋_GBK" w:cs="方正书宋_GBK"/>
              </w:rPr>
            </w:pPr>
            <w:r>
              <w:t>套</w:t>
            </w:r>
          </w:p>
        </w:tc>
        <w:tc>
          <w:tcPr>
            <w:tcW w:w="907" w:type="dxa"/>
            <w:noWrap w:val="0"/>
            <w:vAlign w:val="center"/>
          </w:tcPr>
          <w:p>
            <w:pPr>
              <w:pStyle w:val="23"/>
              <w:ind w:firstLine="0" w:firstLineChars="0"/>
              <w:rPr>
                <w:rFonts w:ascii="方正书宋_GBK" w:hAnsi="方正书宋_GBK" w:eastAsia="方正书宋_GBK" w:cs="方正书宋_GBK"/>
              </w:rPr>
            </w:pPr>
            <w:r>
              <w:t>1</w:t>
            </w:r>
          </w:p>
        </w:tc>
        <w:tc>
          <w:tcPr>
            <w:tcW w:w="907" w:type="dxa"/>
            <w:noWrap w:val="0"/>
            <w:vAlign w:val="center"/>
          </w:tcPr>
          <w:p>
            <w:pPr>
              <w:ind w:firstLine="420" w:firstLineChars="200"/>
              <w:rPr>
                <w:rFonts w:ascii="方正书宋_GBK" w:hAnsi="方正书宋_GBK" w:eastAsia="方正书宋_GBK" w:cs="方正书宋_GBK"/>
              </w:rPr>
            </w:pPr>
            <w:r>
              <w:t>20</w:t>
            </w:r>
          </w:p>
        </w:tc>
        <w:tc>
          <w:tcPr>
            <w:tcW w:w="1134" w:type="dxa"/>
            <w:noWrap w:val="0"/>
            <w:vAlign w:val="center"/>
          </w:tcPr>
          <w:p>
            <w:pPr>
              <w:ind w:firstLine="630" w:firstLineChars="300"/>
              <w:rPr>
                <w:rFonts w:ascii="方正书宋_GBK" w:hAnsi="方正书宋_GBK" w:eastAsia="方正书宋_GBK" w:cs="方正书宋_GBK"/>
              </w:rPr>
            </w:pPr>
            <w:r>
              <w:t>20</w:t>
            </w:r>
          </w:p>
        </w:tc>
        <w:tc>
          <w:tcPr>
            <w:tcW w:w="1134" w:type="dxa"/>
            <w:noWrap w:val="0"/>
            <w:vAlign w:val="center"/>
          </w:tcPr>
          <w:p>
            <w:pPr>
              <w:ind w:firstLine="630" w:firstLineChars="300"/>
              <w:rPr>
                <w:rFonts w:ascii="方正书宋_GBK" w:hAnsi="方正书宋_GBK" w:eastAsia="方正书宋_GBK" w:cs="方正书宋_GBK"/>
              </w:rPr>
            </w:pPr>
            <w:r>
              <w:t>20</w:t>
            </w:r>
          </w:p>
        </w:tc>
        <w:tc>
          <w:tcPr>
            <w:tcW w:w="1134" w:type="dxa"/>
            <w:noWrap w:val="0"/>
            <w:vAlign w:val="center"/>
          </w:tcPr>
          <w:p>
            <w:pPr>
              <w:pStyle w:val="23"/>
              <w:ind w:firstLine="0" w:firstLineChars="0"/>
              <w:rPr>
                <w:rFonts w:ascii="方正书宋_GBK" w:hAnsi="方正书宋_GBK" w:eastAsia="方正书宋_GBK" w:cs="方正书宋_GBK"/>
              </w:rPr>
            </w:pPr>
          </w:p>
        </w:tc>
        <w:tc>
          <w:tcPr>
            <w:tcW w:w="1134" w:type="dxa"/>
            <w:noWrap w:val="0"/>
            <w:vAlign w:val="center"/>
          </w:tcPr>
          <w:p>
            <w:pPr>
              <w:pStyle w:val="23"/>
              <w:ind w:firstLine="0" w:firstLineChars="0"/>
              <w:rPr>
                <w:rFonts w:ascii="方正书宋_GBK" w:hAnsi="方正书宋_GBK" w:eastAsia="方正书宋_GBK" w:cs="方正书宋_GBK"/>
              </w:rPr>
            </w:pPr>
          </w:p>
        </w:tc>
        <w:tc>
          <w:tcPr>
            <w:tcW w:w="1134" w:type="dxa"/>
            <w:noWrap w:val="0"/>
            <w:vAlign w:val="center"/>
          </w:tcPr>
          <w:p>
            <w:pPr>
              <w:pStyle w:val="23"/>
              <w:ind w:firstLine="0" w:firstLineChars="0"/>
              <w:rPr>
                <w:rFonts w:ascii="方正书宋_GBK" w:hAnsi="方正书宋_GBK" w:eastAsia="方正书宋_GBK" w:cs="方正书宋_GBK"/>
              </w:rPr>
            </w:pPr>
          </w:p>
        </w:tc>
        <w:tc>
          <w:tcPr>
            <w:tcW w:w="1134" w:type="dxa"/>
            <w:noWrap w:val="0"/>
            <w:vAlign w:val="center"/>
          </w:tcPr>
          <w:p>
            <w:pPr>
              <w:pStyle w:val="23"/>
              <w:ind w:firstLine="0" w:firstLineChars="0"/>
              <w:rPr>
                <w:rFonts w:ascii="方正书宋_GBK" w:hAnsi="方正书宋_GBK" w:eastAsia="方正书宋_GBK" w:cs="方正书宋_GBK"/>
              </w:rPr>
            </w:pPr>
          </w:p>
        </w:tc>
      </w:tr>
    </w:tbl>
    <w:p>
      <w:pPr>
        <w:spacing w:line="584" w:lineRule="exact"/>
        <w:jc w:val="left"/>
        <w:outlineLvl w:val="0"/>
        <w:rPr>
          <w:rFonts w:hint="eastAsia" w:ascii="Times New Roman" w:hAnsi="Times New Roman" w:eastAsia="仿宋_GB2312" w:cs="Times New Roman"/>
        </w:rPr>
      </w:pPr>
      <w:r>
        <w:rPr>
          <w:rFonts w:hint="eastAsia" w:ascii="Times New Roman" w:hAnsi="Times New Roman" w:eastAsia="仿宋_GB2312" w:cs="Times New Roman"/>
        </w:rPr>
        <w:t>注:同一采购目录序号的物品,其单价会因配置规格不同而变动,均符合配置标准.涉密采购事项按照相关规定执行.</w:t>
      </w:r>
    </w:p>
    <w:p>
      <w:pPr>
        <w:pStyle w:val="18"/>
        <w:ind w:firstLine="0" w:firstLineChars="0"/>
        <w:rPr>
          <w:rFonts w:ascii="方正书宋_GBK" w:hAnsi="方正书宋_GBK" w:eastAsia="方正书宋_GBK" w:cs="方正书宋_GBK"/>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自然资源和规划局</w:t>
      </w:r>
      <w:r>
        <w:rPr>
          <w:rFonts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574.74</w:t>
      </w:r>
      <w:r>
        <w:rPr>
          <w:rFonts w:ascii="仿宋" w:hAnsi="仿宋" w:eastAsia="仿宋" w:cs="Times New Roman"/>
          <w:sz w:val="32"/>
          <w:szCs w:val="32"/>
        </w:rPr>
        <w:t>万元，本年度我部门</w:t>
      </w:r>
      <w:r>
        <w:rPr>
          <w:rFonts w:hint="eastAsia" w:ascii="仿宋" w:hAnsi="仿宋" w:eastAsia="仿宋" w:cs="Times New Roman"/>
          <w:sz w:val="32"/>
          <w:szCs w:val="32"/>
          <w:lang w:eastAsia="zh-CN"/>
        </w:rPr>
        <w:t>无</w:t>
      </w:r>
      <w:r>
        <w:rPr>
          <w:rFonts w:ascii="仿宋" w:hAnsi="仿宋" w:eastAsia="仿宋" w:cs="Times New Roman"/>
          <w:sz w:val="32"/>
          <w:szCs w:val="32"/>
        </w:rPr>
        <w:t>拟购置固定资产。</w:t>
      </w:r>
    </w:p>
    <w:p>
      <w:pPr>
        <w:spacing w:line="584" w:lineRule="exact"/>
        <w:ind w:firstLine="640"/>
        <w:rPr>
          <w:rFonts w:ascii="Times New Roman" w:hAnsi="Times New Roman" w:eastAsia="仿宋_GB2312" w:cs="Times New Roman"/>
          <w:sz w:val="32"/>
          <w:szCs w:val="32"/>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eastAsia="zh-CN"/>
              </w:rPr>
              <w:t>自然资源和规划局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574.74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160.725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55.224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228.791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RlMDFhMDY2MGU1OWI3MGM0OWZiMDI3ODU5YjY3YWYifQ=="/>
  </w:docVars>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D3546"/>
    <w:rsid w:val="00EE07AC"/>
    <w:rsid w:val="1ABE5174"/>
    <w:rsid w:val="23C14A58"/>
    <w:rsid w:val="33AF618E"/>
    <w:rsid w:val="34272982"/>
    <w:rsid w:val="36FB6C89"/>
    <w:rsid w:val="41A76EB0"/>
    <w:rsid w:val="4D111214"/>
    <w:rsid w:val="6CCE54A7"/>
    <w:rsid w:val="72390BD0"/>
    <w:rsid w:val="739D2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rPr>
  </w:style>
  <w:style w:type="paragraph" w:styleId="3">
    <w:name w:val="Balloon Text"/>
    <w:basedOn w:val="1"/>
    <w:qFormat/>
    <w:uiPriority w:val="0"/>
    <w:rPr>
      <w:sz w:val="18"/>
      <w:szCs w:val="18"/>
    </w:rPr>
  </w:style>
  <w:style w:type="paragraph" w:styleId="4">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uiPriority w:val="0"/>
    <w:pPr>
      <w:ind w:left="200" w:leftChars="200"/>
    </w:pPr>
    <w:rPr>
      <w:rFonts w:ascii="Times New Roman" w:hAnsi="Times New Roman" w:cs="Times New Roman"/>
      <w:szCs w:val="24"/>
    </w:rPr>
  </w:style>
  <w:style w:type="paragraph" w:styleId="9">
    <w:name w:val="Normal (Web)"/>
    <w:next w:val="1"/>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character" w:styleId="12">
    <w:name w:val="footnote reference"/>
    <w:qFormat/>
    <w:uiPriority w:val="0"/>
    <w:rPr>
      <w:vertAlign w:val="superscript"/>
    </w:rPr>
  </w:style>
  <w:style w:type="paragraph" w:customStyle="1" w:styleId="13">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9">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0">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1">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2">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90</Pages>
  <Words>33530</Words>
  <Characters>35343</Characters>
  <Lines>23</Lines>
  <Paragraphs>6</Paragraphs>
  <TotalTime>3</TotalTime>
  <ScaleCrop>false</ScaleCrop>
  <LinksUpToDate>false</LinksUpToDate>
  <CharactersWithSpaces>35469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安</cp:lastModifiedBy>
  <cp:lastPrinted>2018-01-30T06:12:00Z</cp:lastPrinted>
  <dcterms:modified xsi:type="dcterms:W3CDTF">2023-12-29T06:38:27Z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6B8AC4923A5B4745A13137A770FD73D6</vt:lpwstr>
  </property>
</Properties>
</file>